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2AB63E">
      <w:pPr>
        <w:spacing w:before="312" w:beforeLines="100" w:after="312" w:afterLines="100"/>
        <w:jc w:val="center"/>
        <w:rPr>
          <w:rFonts w:ascii="方正小标宋简体" w:hAnsi="方正小标宋简体" w:eastAsia="方正小标宋简体" w:cs="方正小标宋简体"/>
          <w:bCs/>
          <w:sz w:val="52"/>
          <w:szCs w:val="52"/>
        </w:rPr>
      </w:pPr>
      <w:r>
        <w:rPr>
          <w:rFonts w:ascii="宋体" w:hAnsi="宋体" w:cs="宋体"/>
          <w:kern w:val="0"/>
          <w:sz w:val="24"/>
        </w:rPr>
        <w:drawing>
          <wp:anchor distT="0" distB="0" distL="114300" distR="114300" simplePos="0" relativeHeight="251662336" behindDoc="0" locked="0" layoutInCell="1" allowOverlap="1">
            <wp:simplePos x="0" y="0"/>
            <wp:positionH relativeFrom="margin">
              <wp:posOffset>3694430</wp:posOffset>
            </wp:positionH>
            <wp:positionV relativeFrom="margin">
              <wp:posOffset>50800</wp:posOffset>
            </wp:positionV>
            <wp:extent cx="1351280" cy="508000"/>
            <wp:effectExtent l="0" t="0" r="1270" b="6350"/>
            <wp:wrapSquare wrapText="bothSides"/>
            <wp:docPr id="9" name="图片 9" descr="5FC7AA39-F849-4d8f-87F5-203043CB6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FC7AA39-F849-4d8f-87F5-203043CB6D2F"/>
                    <pic:cNvPicPr>
                      <a:picLocks noChangeAspect="1" noChangeArrowheads="1"/>
                    </pic:cNvPicPr>
                  </pic:nvPicPr>
                  <pic:blipFill>
                    <a:blip r:embed="rId5" cstate="print">
                      <a:extLst>
                        <a:ext uri="{28A0092B-C50C-407E-A947-70E740481C1C}">
                          <a14:useLocalDpi xmlns:a14="http://schemas.microsoft.com/office/drawing/2010/main" val="0"/>
                        </a:ext>
                      </a:extLst>
                    </a:blip>
                    <a:srcRect t="9178" b="12665"/>
                    <a:stretch>
                      <a:fillRect/>
                    </a:stretch>
                  </pic:blipFill>
                  <pic:spPr>
                    <a:xfrm>
                      <a:off x="0" y="0"/>
                      <a:ext cx="1351280" cy="508000"/>
                    </a:xfrm>
                    <a:prstGeom prst="rect">
                      <a:avLst/>
                    </a:prstGeom>
                    <a:noFill/>
                  </pic:spPr>
                </pic:pic>
              </a:graphicData>
            </a:graphic>
          </wp:anchor>
        </w:drawing>
      </w:r>
    </w:p>
    <w:p w14:paraId="532DD6F7">
      <w:pPr>
        <w:spacing w:before="312" w:beforeLines="100" w:after="312" w:afterLines="100"/>
        <w:jc w:val="center"/>
        <w:rPr>
          <w:rFonts w:ascii="方正小标宋简体" w:hAnsi="方正小标宋简体" w:eastAsia="方正小标宋简体" w:cs="方正小标宋简体"/>
          <w:bCs/>
          <w:sz w:val="52"/>
          <w:szCs w:val="52"/>
        </w:rPr>
      </w:pPr>
      <w:r>
        <w:rPr>
          <w:rFonts w:hint="eastAsia" w:ascii="方正小标宋简体" w:hAnsi="方正小标宋简体" w:eastAsia="方正小标宋简体" w:cs="方正小标宋简体"/>
          <w:bCs/>
          <w:sz w:val="52"/>
          <w:szCs w:val="52"/>
        </w:rPr>
        <w:t>企业社会责任报告</w:t>
      </w:r>
    </w:p>
    <w:p w14:paraId="5B08B5AC">
      <w:pPr>
        <w:spacing w:before="312" w:beforeLines="100" w:after="312" w:afterLines="100"/>
        <w:jc w:val="center"/>
        <w:rPr>
          <w:rFonts w:ascii="方正小标宋简体" w:hAnsi="方正小标宋简体" w:eastAsia="方正小标宋简体" w:cs="方正小标宋简体"/>
          <w:bCs/>
          <w:sz w:val="52"/>
          <w:szCs w:val="52"/>
        </w:rPr>
      </w:pPr>
      <w:r>
        <w:rPr>
          <w:rFonts w:hint="eastAsia" w:ascii="方正小标宋简体" w:hAnsi="方正小标宋简体" w:eastAsia="方正小标宋简体" w:cs="方正小标宋简体"/>
          <w:bCs/>
          <w:sz w:val="52"/>
          <w:szCs w:val="52"/>
        </w:rPr>
        <w:t>（202</w:t>
      </w:r>
      <w:r>
        <w:rPr>
          <w:rFonts w:hint="eastAsia" w:ascii="方正小标宋简体" w:hAnsi="方正小标宋简体" w:eastAsia="方正小标宋简体" w:cs="方正小标宋简体"/>
          <w:bCs/>
          <w:sz w:val="52"/>
          <w:szCs w:val="52"/>
          <w:lang w:val="en-US" w:eastAsia="zh-CN"/>
        </w:rPr>
        <w:t>4</w:t>
      </w:r>
      <w:r>
        <w:rPr>
          <w:rFonts w:hint="eastAsia" w:ascii="方正小标宋简体" w:hAnsi="方正小标宋简体" w:eastAsia="方正小标宋简体" w:cs="方正小标宋简体"/>
          <w:bCs/>
          <w:sz w:val="52"/>
          <w:szCs w:val="52"/>
        </w:rPr>
        <w:t>年）</w:t>
      </w:r>
    </w:p>
    <w:p w14:paraId="115D9016">
      <w:pPr>
        <w:pStyle w:val="9"/>
        <w:spacing w:after="100"/>
        <w:rPr>
          <w:rFonts w:hint="eastAsia"/>
        </w:rPr>
      </w:pPr>
    </w:p>
    <w:p w14:paraId="0A6D3423">
      <w:pPr>
        <w:jc w:val="center"/>
        <w:rPr>
          <w:rFonts w:ascii="黑体" w:hAnsi="黑体" w:eastAsia="黑体"/>
          <w:b/>
          <w:sz w:val="36"/>
          <w:szCs w:val="36"/>
        </w:rPr>
      </w:pPr>
      <w:r>
        <w:rPr>
          <w:rFonts w:hint="eastAsia" w:ascii="仿宋" w:hAnsi="仿宋" w:eastAsia="仿宋" w:cs="仿宋"/>
          <w:sz w:val="32"/>
          <w:szCs w:val="32"/>
        </w:rPr>
        <w:drawing>
          <wp:anchor distT="0" distB="0" distL="114300" distR="114300" simplePos="0" relativeHeight="251661312" behindDoc="1" locked="0" layoutInCell="1" allowOverlap="1">
            <wp:simplePos x="0" y="0"/>
            <wp:positionH relativeFrom="column">
              <wp:posOffset>3416300</wp:posOffset>
            </wp:positionH>
            <wp:positionV relativeFrom="paragraph">
              <wp:posOffset>394970</wp:posOffset>
            </wp:positionV>
            <wp:extent cx="1062990" cy="782955"/>
            <wp:effectExtent l="0" t="0" r="0" b="0"/>
            <wp:wrapNone/>
            <wp:docPr id="2" name="图片 2" descr="司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司标"/>
                    <pic:cNvPicPr>
                      <a:picLocks noChangeAspect="1"/>
                    </pic:cNvPicPr>
                  </pic:nvPicPr>
                  <pic:blipFill>
                    <a:blip r:embed="rId6"/>
                    <a:stretch>
                      <a:fillRect/>
                    </a:stretch>
                  </pic:blipFill>
                  <pic:spPr>
                    <a:xfrm>
                      <a:off x="0" y="0"/>
                      <a:ext cx="1062990" cy="782955"/>
                    </a:xfrm>
                    <a:prstGeom prst="rect">
                      <a:avLst/>
                    </a:prstGeom>
                  </pic:spPr>
                </pic:pic>
              </a:graphicData>
            </a:graphic>
          </wp:anchor>
        </w:drawing>
      </w:r>
      <w:r>
        <w:rPr>
          <w:szCs w:val="28"/>
        </w:rPr>
        <w:drawing>
          <wp:inline distT="0" distB="0" distL="114300" distR="114300">
            <wp:extent cx="5563870" cy="3206115"/>
            <wp:effectExtent l="0" t="0" r="17780" b="13335"/>
            <wp:docPr id="25" name="图片 1" descr="937f5ddd14852177e8479824c837a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937f5ddd14852177e8479824c837a3e"/>
                    <pic:cNvPicPr>
                      <a:picLocks noChangeAspect="1"/>
                    </pic:cNvPicPr>
                  </pic:nvPicPr>
                  <pic:blipFill>
                    <a:blip r:embed="rId7"/>
                    <a:stretch>
                      <a:fillRect/>
                    </a:stretch>
                  </pic:blipFill>
                  <pic:spPr>
                    <a:xfrm>
                      <a:off x="0" y="0"/>
                      <a:ext cx="5563870" cy="3206115"/>
                    </a:xfrm>
                    <a:prstGeom prst="rect">
                      <a:avLst/>
                    </a:prstGeom>
                    <a:noFill/>
                    <a:ln>
                      <a:noFill/>
                    </a:ln>
                  </pic:spPr>
                </pic:pic>
              </a:graphicData>
            </a:graphic>
          </wp:inline>
        </w:drawing>
      </w:r>
    </w:p>
    <w:p w14:paraId="3CFF5D5F">
      <w:pPr>
        <w:spacing w:line="360" w:lineRule="auto"/>
        <w:ind w:firstLine="640" w:firstLineChars="200"/>
        <w:rPr>
          <w:rFonts w:ascii="仿宋" w:hAnsi="仿宋" w:eastAsia="仿宋" w:cs="仿宋"/>
          <w:sz w:val="32"/>
          <w:szCs w:val="32"/>
        </w:rPr>
      </w:pPr>
    </w:p>
    <w:p w14:paraId="690691D7">
      <w:pPr>
        <w:spacing w:after="156" w:afterLines="50" w:line="600" w:lineRule="exact"/>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浙江弗尔德驱动科技有限公司</w:t>
      </w:r>
    </w:p>
    <w:p w14:paraId="32424249">
      <w:pPr>
        <w:pStyle w:val="9"/>
        <w:spacing w:before="0" w:beforeAutospacing="0" w:after="156" w:afterLines="50" w:afterAutospacing="0"/>
        <w:ind w:left="0" w:leftChars="0" w:firstLine="0"/>
        <w:jc w:val="center"/>
        <w:rPr>
          <w:rFonts w:hint="eastAsia"/>
          <w:b/>
          <w:bCs/>
          <w:sz w:val="32"/>
          <w:szCs w:val="40"/>
        </w:rPr>
      </w:pPr>
      <w:r>
        <w:rPr>
          <w:rFonts w:hint="eastAsia"/>
          <w:b/>
          <w:bCs/>
          <w:sz w:val="32"/>
          <w:szCs w:val="40"/>
        </w:rPr>
        <w:t>二零二</w:t>
      </w:r>
      <w:r>
        <w:rPr>
          <w:rFonts w:hint="eastAsia"/>
          <w:b/>
          <w:bCs/>
          <w:sz w:val="32"/>
          <w:szCs w:val="40"/>
          <w:lang w:eastAsia="zh-CN"/>
        </w:rPr>
        <w:t>四</w:t>
      </w:r>
      <w:r>
        <w:rPr>
          <w:rFonts w:hint="eastAsia"/>
          <w:b/>
          <w:bCs/>
          <w:sz w:val="32"/>
          <w:szCs w:val="40"/>
        </w:rPr>
        <w:t>年十二月</w:t>
      </w:r>
    </w:p>
    <w:p w14:paraId="4D373112">
      <w:pPr>
        <w:spacing w:line="360" w:lineRule="auto"/>
        <w:ind w:firstLine="480" w:firstLineChars="200"/>
        <w:rPr>
          <w:rFonts w:ascii="宋体" w:hAnsi="宋体" w:cs="宋体"/>
          <w:color w:val="000000" w:themeColor="text1"/>
          <w:sz w:val="24"/>
          <w14:textFill>
            <w14:solidFill>
              <w14:schemeClr w14:val="tx1"/>
            </w14:solidFill>
          </w14:textFill>
        </w:rPr>
        <w:sectPr>
          <w:footerReference r:id="rId3" w:type="default"/>
          <w:pgSz w:w="11906" w:h="16838"/>
          <w:pgMar w:top="1440" w:right="1800" w:bottom="1440" w:left="1800" w:header="851" w:footer="992" w:gutter="0"/>
          <w:cols w:space="425" w:num="1"/>
          <w:docGrid w:type="lines" w:linePitch="312" w:charSpace="0"/>
        </w:sectPr>
      </w:pPr>
    </w:p>
    <w:p w14:paraId="20C24814">
      <w:pPr>
        <w:spacing w:before="312" w:beforeLines="100" w:after="312" w:afterLines="10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企业社会责任报告</w:t>
      </w:r>
    </w:p>
    <w:p w14:paraId="5B5AE359">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浙江弗尔德驱动科技有限公司（简称“弗尔德”）是一家集研发、设计、生产、销售及售后服务于一体的永磁同步曳引机制造企业。公司秉承“追求卓越，精益求精”的企业精神，坚持“高起点、高品质”的发展思路。公司近年以25%左右的年增长率快速发展，近三年销售收入分别是</w:t>
      </w:r>
      <w:r>
        <w:rPr>
          <w:rFonts w:hint="eastAsia" w:ascii="宋体" w:hAnsi="宋体" w:cs="宋体"/>
          <w:color w:val="000000" w:themeColor="text1"/>
          <w:sz w:val="24"/>
          <w:lang w:val="en-US" w:eastAsia="zh-CN"/>
          <w14:textFill>
            <w14:solidFill>
              <w14:schemeClr w14:val="tx1"/>
            </w14:solidFill>
          </w14:textFill>
        </w:rPr>
        <w:t>2.4亿</w:t>
      </w:r>
      <w:r>
        <w:rPr>
          <w:rFonts w:hint="eastAsia" w:ascii="宋体" w:hAnsi="宋体" w:cs="宋体"/>
          <w:color w:val="000000" w:themeColor="text1"/>
          <w:sz w:val="24"/>
          <w14:textFill>
            <w14:solidFill>
              <w14:schemeClr w14:val="tx1"/>
            </w14:solidFill>
          </w14:textFill>
        </w:rPr>
        <w:t>元、</w:t>
      </w:r>
      <w:r>
        <w:rPr>
          <w:rFonts w:hint="eastAsia" w:ascii="宋体" w:hAnsi="宋体" w:cs="宋体"/>
          <w:color w:val="000000" w:themeColor="text1"/>
          <w:sz w:val="24"/>
          <w:lang w:val="en-US" w:eastAsia="zh-CN"/>
          <w14:textFill>
            <w14:solidFill>
              <w14:schemeClr w14:val="tx1"/>
            </w14:solidFill>
          </w14:textFill>
        </w:rPr>
        <w:t>4.2亿</w:t>
      </w:r>
      <w:r>
        <w:rPr>
          <w:rFonts w:hint="eastAsia" w:ascii="宋体" w:hAnsi="宋体" w:cs="宋体"/>
          <w:color w:val="000000" w:themeColor="text1"/>
          <w:sz w:val="24"/>
          <w14:textFill>
            <w14:solidFill>
              <w14:schemeClr w14:val="tx1"/>
            </w14:solidFill>
          </w14:textFill>
        </w:rPr>
        <w:t>元、</w:t>
      </w:r>
      <w:r>
        <w:rPr>
          <w:rFonts w:hint="eastAsia" w:ascii="宋体" w:hAnsi="宋体" w:cs="宋体"/>
          <w:color w:val="000000" w:themeColor="text1"/>
          <w:sz w:val="24"/>
          <w:lang w:val="en-US" w:eastAsia="zh-CN"/>
          <w14:textFill>
            <w14:solidFill>
              <w14:schemeClr w14:val="tx1"/>
            </w14:solidFill>
          </w14:textFill>
        </w:rPr>
        <w:t>4.4亿</w:t>
      </w:r>
      <w:r>
        <w:rPr>
          <w:rFonts w:hint="eastAsia" w:ascii="宋体" w:hAnsi="宋体" w:cs="宋体"/>
          <w:color w:val="000000" w:themeColor="text1"/>
          <w:sz w:val="24"/>
          <w14:textFill>
            <w14:solidFill>
              <w14:schemeClr w14:val="tx1"/>
            </w14:solidFill>
          </w14:textFill>
        </w:rPr>
        <w:t>元。</w:t>
      </w:r>
    </w:p>
    <w:p w14:paraId="48E5BB10">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公司是国家高新技术企业、国家级科技型中小企业、浙江省高成长科技型中小企业、湖州市专利示范企业，</w:t>
      </w:r>
      <w:r>
        <w:rPr>
          <w:rFonts w:hint="eastAsia" w:ascii="宋体" w:hAnsi="宋体" w:cs="宋体"/>
          <w:color w:val="000000" w:themeColor="text1"/>
          <w:sz w:val="24"/>
          <w:lang w:val="en-US" w:eastAsia="zh-CN"/>
          <w14:textFill>
            <w14:solidFill>
              <w14:schemeClr w14:val="tx1"/>
            </w14:solidFill>
          </w14:textFill>
        </w:rPr>
        <w:t>国家级知识产权优势企业、国家级专精特新小巨人企业、省级科技型企业。</w:t>
      </w:r>
      <w:r>
        <w:rPr>
          <w:rFonts w:hint="eastAsia" w:ascii="宋体" w:hAnsi="宋体" w:cs="宋体"/>
          <w:color w:val="000000" w:themeColor="text1"/>
          <w:sz w:val="24"/>
          <w14:textFill>
            <w14:solidFill>
              <w14:schemeClr w14:val="tx1"/>
            </w14:solidFill>
          </w14:textFill>
        </w:rPr>
        <w:t>拥有浙江省级高新技术企业研究开发中心。公司与浙江大学、中国计量大学、安徽大学、南京理工大学、湖州师范学院等建立产学研合作关系。2015年6月，公司与欧洲顶尖的曳引机公司强强联手，形成技术资源共享的战略合作伙伴关系。</w:t>
      </w:r>
    </w:p>
    <w:p w14:paraId="202AEF05">
      <w:pPr>
        <w:pStyle w:val="9"/>
        <w:spacing w:before="0" w:beforeAutospacing="0" w:after="0" w:afterAutospacing="0"/>
        <w:ind w:left="0" w:leftChars="0" w:firstLine="0"/>
        <w:jc w:val="center"/>
        <w:rPr>
          <w:rFonts w:hint="eastAsia"/>
        </w:rPr>
      </w:pPr>
      <w:r>
        <w:rPr>
          <w:bCs/>
        </w:rPr>
        <w:drawing>
          <wp:inline distT="0" distB="0" distL="0" distR="0">
            <wp:extent cx="2578735" cy="1823720"/>
            <wp:effectExtent l="0" t="0" r="0" b="5080"/>
            <wp:docPr id="131" name="图片 131" descr="高新技术企业证书最新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高新技术企业证书最新版_0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81743" cy="1826292"/>
                    </a:xfrm>
                    <a:prstGeom prst="rect">
                      <a:avLst/>
                    </a:prstGeom>
                  </pic:spPr>
                </pic:pic>
              </a:graphicData>
            </a:graphic>
          </wp:inline>
        </w:drawing>
      </w:r>
      <w:r>
        <w:rPr>
          <w:rFonts w:hint="eastAsia"/>
        </w:rPr>
        <w:t xml:space="preserve"> </w:t>
      </w:r>
      <w:r>
        <w:rPr>
          <w:bCs/>
        </w:rPr>
        <w:drawing>
          <wp:inline distT="0" distB="0" distL="0" distR="0">
            <wp:extent cx="2368550" cy="1674495"/>
            <wp:effectExtent l="0" t="0" r="0" b="1905"/>
            <wp:docPr id="112" name="图片 112" descr="C:/Users/Uncle Wang/AppData/Local/Temp/picturecompress_20210908233429/output_7.jpgoutpu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C:/Users/Uncle Wang/AppData/Local/Temp/picturecompress_20210908233429/output_7.jpgoutput_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72526" cy="1677929"/>
                    </a:xfrm>
                    <a:prstGeom prst="rect">
                      <a:avLst/>
                    </a:prstGeom>
                  </pic:spPr>
                </pic:pic>
              </a:graphicData>
            </a:graphic>
          </wp:inline>
        </w:drawing>
      </w:r>
    </w:p>
    <w:p w14:paraId="7593E8C4">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公司凭借领先的精细制造水平，与</w:t>
      </w:r>
      <w:r>
        <w:rPr>
          <w:rFonts w:hint="eastAsia" w:ascii="宋体" w:hAnsi="宋体" w:cs="宋体"/>
          <w:color w:val="000000" w:themeColor="text1"/>
          <w:sz w:val="24"/>
          <w:lang w:val="en-US" w:eastAsia="zh-CN"/>
          <w14:textFill>
            <w14:solidFill>
              <w14:schemeClr w14:val="tx1"/>
            </w14:solidFill>
          </w14:textFill>
        </w:rPr>
        <w:t>蒂升电梯、</w:t>
      </w:r>
      <w:r>
        <w:rPr>
          <w:rFonts w:hint="eastAsia" w:ascii="宋体" w:hAnsi="宋体" w:cs="宋体"/>
          <w:color w:val="000000" w:themeColor="text1"/>
          <w:sz w:val="24"/>
          <w14:textFill>
            <w14:solidFill>
              <w14:schemeClr w14:val="tx1"/>
            </w14:solidFill>
          </w14:textFill>
        </w:rPr>
        <w:t>沃克斯迅达电梯、恒达富士电梯、怡达快速电梯、巨人通力电梯、江南嘉捷电梯、德奥电梯、奥立达电梯等国内外著名品牌建立了长期合作关系。</w:t>
      </w:r>
    </w:p>
    <w:p w14:paraId="35F29A31">
      <w:pPr>
        <w:spacing w:line="360" w:lineRule="auto"/>
        <w:ind w:firstLine="480" w:firstLineChars="200"/>
        <w:rPr>
          <w:rFonts w:ascii="黑体" w:hAnsi="黑体" w:eastAsia="黑体" w:cs="黑体"/>
          <w:b/>
          <w:sz w:val="32"/>
          <w:szCs w:val="32"/>
          <w:lang w:bidi="ar"/>
        </w:rPr>
      </w:pPr>
      <w:r>
        <w:rPr>
          <w:rFonts w:hint="eastAsia" w:ascii="宋体" w:hAnsi="宋体" w:cs="宋体"/>
          <w:color w:val="000000" w:themeColor="text1"/>
          <w:sz w:val="24"/>
          <w14:textFill>
            <w14:solidFill>
              <w14:schemeClr w14:val="tx1"/>
            </w14:solidFill>
          </w14:textFill>
        </w:rPr>
        <w:t>公司通过ISO9001质量管理体系、ISO14001环境管理体系、ISO45001职业健康安全管理体系、知识产权管理体系认证等。公司先后被评为浙江省AAA守合同重信用企业、浙江省新一代信息技术与制造业融合发展试点示范企业、湖州市四星级绿色工厂、湖州市两化融合示范企业、湖州市上云标杆企业等。</w:t>
      </w:r>
    </w:p>
    <w:p w14:paraId="2CD5D70A">
      <w:pPr>
        <w:ind w:firstLine="643" w:firstLineChars="200"/>
        <w:rPr>
          <w:rFonts w:ascii="黑体" w:hAnsi="黑体" w:eastAsia="黑体" w:cs="黑体"/>
          <w:b/>
          <w:sz w:val="32"/>
          <w:szCs w:val="32"/>
          <w:lang w:bidi="ar"/>
        </w:rPr>
      </w:pPr>
    </w:p>
    <w:p w14:paraId="3E211D8E">
      <w:pPr>
        <w:numPr>
          <w:ilvl w:val="0"/>
          <w:numId w:val="1"/>
        </w:numPr>
        <w:ind w:firstLine="643" w:firstLineChars="200"/>
        <w:rPr>
          <w:rFonts w:ascii="黑体" w:hAnsi="黑体" w:eastAsia="黑体" w:cs="黑体"/>
          <w:b/>
          <w:sz w:val="32"/>
          <w:szCs w:val="32"/>
          <w:lang w:bidi="ar"/>
        </w:rPr>
        <w:sectPr>
          <w:pgSz w:w="11906" w:h="16838"/>
          <w:pgMar w:top="1440" w:right="1800" w:bottom="1440" w:left="1800" w:header="851" w:footer="992" w:gutter="0"/>
          <w:cols w:space="425" w:num="1"/>
          <w:docGrid w:type="lines" w:linePitch="312" w:charSpace="0"/>
        </w:sectPr>
      </w:pPr>
    </w:p>
    <w:p w14:paraId="038A3901">
      <w:pPr>
        <w:rPr>
          <w:rFonts w:ascii="黑体" w:hAnsi="黑体" w:eastAsia="黑体" w:cs="黑体"/>
          <w:b/>
          <w:sz w:val="32"/>
          <w:szCs w:val="32"/>
          <w:lang w:bidi="ar"/>
        </w:rPr>
      </w:pPr>
      <w:r>
        <w:rPr>
          <w:rFonts w:hint="eastAsia" w:ascii="黑体" w:hAnsi="黑体" w:eastAsia="黑体" w:cs="黑体"/>
          <w:b/>
          <w:sz w:val="32"/>
          <w:szCs w:val="32"/>
          <w:lang w:bidi="ar"/>
        </w:rPr>
        <w:t>一、担当为先，做有作为的政府战略支持者</w:t>
      </w:r>
    </w:p>
    <w:p w14:paraId="408AB1B3">
      <w:pPr>
        <w:adjustRightInd w:val="0"/>
        <w:snapToGrid w:val="0"/>
        <w:spacing w:line="360" w:lineRule="auto"/>
        <w:ind w:firstLine="420"/>
        <w:rPr>
          <w:b/>
          <w:bCs/>
          <w:color w:val="252525"/>
          <w:sz w:val="24"/>
          <w:szCs w:val="28"/>
          <w:shd w:val="clear" w:color="auto" w:fill="FFFFFF"/>
        </w:rPr>
      </w:pPr>
      <w:r>
        <w:rPr>
          <w:rFonts w:hint="eastAsia"/>
          <w:b/>
          <w:bCs/>
          <w:color w:val="252525"/>
          <w:sz w:val="24"/>
          <w:szCs w:val="28"/>
          <w:shd w:val="clear" w:color="auto" w:fill="FFFFFF"/>
        </w:rPr>
        <w:t>南浔区政府推动</w:t>
      </w:r>
      <w:r>
        <w:rPr>
          <w:b/>
          <w:bCs/>
          <w:color w:val="252525"/>
          <w:sz w:val="24"/>
          <w:szCs w:val="28"/>
          <w:shd w:val="clear" w:color="auto" w:fill="FFFFFF"/>
        </w:rPr>
        <w:t>两旧改造</w:t>
      </w:r>
      <w:r>
        <w:rPr>
          <w:rFonts w:hint="eastAsia"/>
          <w:b/>
          <w:bCs/>
          <w:color w:val="252525"/>
          <w:sz w:val="24"/>
          <w:szCs w:val="28"/>
          <w:shd w:val="clear" w:color="auto" w:fill="FFFFFF"/>
        </w:rPr>
        <w:t>项目，</w:t>
      </w:r>
      <w:r>
        <w:rPr>
          <w:b/>
          <w:bCs/>
          <w:color w:val="252525"/>
          <w:sz w:val="24"/>
          <w:szCs w:val="28"/>
          <w:shd w:val="clear" w:color="auto" w:fill="FFFFFF"/>
        </w:rPr>
        <w:t>带动电梯存量市场</w:t>
      </w:r>
      <w:r>
        <w:rPr>
          <w:rFonts w:hint="eastAsia"/>
          <w:b/>
          <w:bCs/>
          <w:color w:val="252525"/>
          <w:sz w:val="24"/>
          <w:szCs w:val="28"/>
          <w:shd w:val="clear" w:color="auto" w:fill="FFFFFF"/>
        </w:rPr>
        <w:t>。</w:t>
      </w:r>
    </w:p>
    <w:p w14:paraId="6382E6A6">
      <w:pPr>
        <w:adjustRightInd w:val="0"/>
        <w:snapToGrid w:val="0"/>
        <w:spacing w:line="360" w:lineRule="auto"/>
        <w:ind w:firstLine="420"/>
        <w:rPr>
          <w:rFonts w:ascii="宋体" w:hAnsi="宋体" w:cs="宋体"/>
          <w:b/>
          <w:bCs/>
          <w:color w:val="252525"/>
          <w:sz w:val="24"/>
          <w:szCs w:val="28"/>
          <w:shd w:val="clear" w:color="auto" w:fill="FFFFFF"/>
        </w:rPr>
      </w:pPr>
      <w:r>
        <w:rPr>
          <w:rFonts w:hint="eastAsia" w:ascii="宋体" w:hAnsi="宋体" w:cs="宋体"/>
          <w:color w:val="252525"/>
          <w:sz w:val="24"/>
          <w:szCs w:val="28"/>
          <w:shd w:val="clear" w:color="auto" w:fill="FFFFFF"/>
        </w:rPr>
        <w:t>随着政府对民生工程的重视程度不断加深，老旧小区加装电梯全面开展，医疗、卫生、文化等各领域项目陆续启动，加装电梯是提高旧楼居住舒适度最直接的方式，也是当前政府倡导和鼓励的民生工程。2018年，政府工作报告中首次提到旧楼加装电梯，明确指出 “有序推进‘城中村’、老旧小区改造，完善配套设施，鼓励有条件的加装电梯”。2019年，旧楼加装电梯工程再次被写入政府工作报告，从“鼓励加装电梯”到进一步明确“支持加装电梯”。2019年7月，住建部会同发改委、财政部联合印发了《关于做好2019年老旧小区改造工作的通知》，全面推进城镇老旧小区改造，明确自 2019 年起将老旧小区改造纳入城镇保障性安居工程，给予中央补助资金支持，对老旧小区改造政策支持力度持续加大。</w:t>
      </w:r>
      <w:r>
        <w:rPr>
          <w:rFonts w:hint="eastAsia" w:ascii="宋体" w:hAnsi="宋体" w:cs="宋体"/>
          <w:b/>
          <w:bCs/>
          <w:color w:val="252525"/>
          <w:sz w:val="24"/>
          <w:szCs w:val="28"/>
          <w:shd w:val="clear" w:color="auto" w:fill="FFFFFF"/>
        </w:rPr>
        <w:t>弗尔德成为最早一批响应政府政策的电梯企业，在旧改造项目出台后，董事长带领企业拓展全系列覆盖的曳引机产品，涵盖“高速梯、医用梯、特殊环境下使用的高防护梯、货梯、小机房、无机房、家用梯、钢带主机”等8大系列产品，覆盖载重320kg-4000kg、速度0.4m/s-12m/s，可满足整梯厂所有要求。并快速投入到旧改造项目的应用中。</w:t>
      </w:r>
    </w:p>
    <w:p w14:paraId="2CB62E40">
      <w:pPr>
        <w:adjustRightInd w:val="0"/>
        <w:snapToGrid w:val="0"/>
        <w:spacing w:line="360" w:lineRule="auto"/>
        <w:ind w:firstLine="420"/>
      </w:pPr>
      <w:r>
        <w:rPr>
          <w:rFonts w:hint="eastAsia" w:ascii="宋体" w:hAnsi="宋体" w:cs="宋体"/>
          <w:color w:val="252525"/>
          <w:sz w:val="24"/>
          <w:szCs w:val="28"/>
          <w:shd w:val="clear" w:color="auto" w:fill="FFFFFF"/>
        </w:rPr>
        <w:t>2020 年政府工作报告进一步明确目标，落地实施加装电梯推进工作，提出“新开工改造城镇老旧小区3.9万个，支持管网改造、加装电梯等，发展居家养老、用餐、保洁等多样社区服务”。 2018年中国电梯协会工作报告预计，全国约有250万台加装电梯潜在需求。根据住建部数据，2018 年全国老旧小区加装电梯已经完成了1万台，在施工的有4,000 多台，正在办理前期手续的有 7,000多台，预计未来加装电梯市场前景广阔。</w:t>
      </w:r>
    </w:p>
    <w:p w14:paraId="3FCBD0EF">
      <w:pPr>
        <w:rPr>
          <w:rFonts w:ascii="仿宋_GB2312" w:hAnsi="仿宋_GB2312" w:eastAsia="仿宋_GB2312" w:cs="仿宋_GB2312"/>
          <w:b/>
          <w:sz w:val="32"/>
          <w:szCs w:val="32"/>
        </w:rPr>
      </w:pPr>
      <w:r>
        <w:rPr>
          <w:rFonts w:hint="eastAsia" w:ascii="黑体" w:hAnsi="黑体" w:eastAsia="黑体" w:cs="黑体"/>
          <w:b/>
          <w:sz w:val="32"/>
          <w:szCs w:val="32"/>
          <w:lang w:bidi="ar"/>
        </w:rPr>
        <w:t>二、客户为源，做可信赖的价值创造合作伙伴</w:t>
      </w:r>
      <w:r>
        <w:rPr>
          <w:rFonts w:hint="eastAsia" w:ascii="仿宋_GB2312" w:hAnsi="仿宋_GB2312" w:eastAsia="仿宋_GB2312" w:cs="仿宋_GB2312"/>
          <w:b/>
          <w:sz w:val="32"/>
          <w:szCs w:val="32"/>
          <w:lang w:bidi="ar"/>
        </w:rPr>
        <w:t xml:space="preserve"> </w:t>
      </w:r>
    </w:p>
    <w:p w14:paraId="43338530">
      <w:pPr>
        <w:rPr>
          <w:rFonts w:ascii="楷体" w:hAnsi="楷体" w:eastAsia="楷体" w:cs="楷体"/>
          <w:b/>
          <w:sz w:val="28"/>
          <w:szCs w:val="28"/>
        </w:rPr>
      </w:pPr>
      <w:r>
        <w:rPr>
          <w:rFonts w:hint="eastAsia" w:ascii="楷体" w:hAnsi="楷体" w:eastAsia="楷体" w:cs="楷体"/>
          <w:b/>
          <w:sz w:val="28"/>
          <w:szCs w:val="28"/>
          <w:lang w:bidi="ar"/>
        </w:rPr>
        <w:t>（一）开展战略合作，实现互惠共赢</w:t>
      </w:r>
    </w:p>
    <w:p w14:paraId="27AA2BA1">
      <w:pPr>
        <w:pStyle w:val="32"/>
        <w:spacing w:line="360" w:lineRule="auto"/>
        <w:ind w:firstLine="480" w:firstLineChars="200"/>
        <w:rPr>
          <w:rFonts w:ascii="仿宋_GB2312" w:hAnsi="仿宋_GB2312" w:eastAsia="仿宋_GB2312" w:cs="仿宋_GB2312"/>
          <w:kern w:val="2"/>
          <w:sz w:val="32"/>
          <w:szCs w:val="32"/>
        </w:rPr>
      </w:pPr>
      <w:r>
        <w:rPr>
          <w:rFonts w:hint="eastAsia" w:ascii="宋体" w:hAnsi="宋体" w:cs="宋体"/>
          <w:kern w:val="2"/>
        </w:rPr>
        <w:t>供应商是公司最珍贵、最有潜力的战略资源，在公司的改革发展中，具有举足轻重的地位，发挥着不可替代的作用。此外公司通过展会、供应商大会、高层领导互访等形式，建立长效的沟通机制与平台，各相关部门（采购部、销售部、领导层等）与供应商、顾客进行充分沟通，建立良好关系。</w:t>
      </w:r>
    </w:p>
    <w:p w14:paraId="7DFADB22">
      <w:pPr>
        <w:numPr>
          <w:ilvl w:val="0"/>
          <w:numId w:val="2"/>
        </w:numPr>
        <w:jc w:val="left"/>
        <w:rPr>
          <w:rFonts w:ascii="楷体" w:hAnsi="楷体" w:eastAsia="楷体" w:cs="楷体"/>
          <w:b/>
          <w:sz w:val="28"/>
          <w:szCs w:val="28"/>
          <w:lang w:bidi="ar"/>
        </w:rPr>
      </w:pPr>
      <w:r>
        <w:rPr>
          <w:rFonts w:hint="eastAsia" w:ascii="楷体" w:hAnsi="楷体" w:eastAsia="楷体" w:cs="楷体"/>
          <w:b/>
          <w:sz w:val="28"/>
          <w:szCs w:val="28"/>
          <w:lang w:bidi="ar"/>
        </w:rPr>
        <w:t>推动供应链履责，打造负责任的行业生态</w:t>
      </w:r>
    </w:p>
    <w:p w14:paraId="78F9FE58">
      <w:pPr>
        <w:adjustRightInd w:val="0"/>
        <w:snapToGrid w:val="0"/>
        <w:spacing w:line="360" w:lineRule="auto"/>
        <w:ind w:firstLine="420"/>
        <w:rPr>
          <w:color w:val="666666"/>
          <w:szCs w:val="21"/>
        </w:rPr>
      </w:pPr>
      <w:r>
        <w:rPr>
          <w:rFonts w:hint="eastAsia" w:ascii="宋体" w:hAnsi="宋体" w:cs="宋体"/>
          <w:sz w:val="24"/>
        </w:rPr>
        <w:t>作为电梯的核心部件，曳引机对电梯安全影响甚重，品牌给客户安全可靠的信赖感至关重要。弗尔德品牌建设的特点是站在企业发展战略高度重视品牌建设，具有明确的品牌定位——做专、做精高端曳引机，成为高端曳引机的代名词。公司依靠企业自主创新体系的建设，打造企业品牌的技术、质量、服务三大核心竞争力，通过行业参展、新品发布会、媒体报道等扩大品牌知名度和影响力，不断提高顾客满意度和忠诚度，赢得行业认可。同时重视品牌成果的积累，突出自身优势，调整产业结构布局，明确目标市场，通过技术创新、优化管理、开拓创新，在关键技术和重要产品的研制上取得新的突破，最终实现以高端产品占领高端市场和潜在市场。</w:t>
      </w:r>
    </w:p>
    <w:p w14:paraId="5BACD8F6">
      <w:pPr>
        <w:adjustRightInd w:val="0"/>
        <w:snapToGrid w:val="0"/>
        <w:spacing w:after="156" w:afterLines="50" w:line="300" w:lineRule="auto"/>
        <w:rPr>
          <w:b/>
          <w:kern w:val="0"/>
          <w:sz w:val="24"/>
        </w:rPr>
      </w:pPr>
      <w:r>
        <w:rPr>
          <w:color w:val="666666"/>
          <w:szCs w:val="21"/>
        </w:rPr>
        <w:drawing>
          <wp:inline distT="0" distB="0" distL="0" distR="0">
            <wp:extent cx="2552700" cy="1697355"/>
            <wp:effectExtent l="0" t="0" r="0" b="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0" r:link="rId11" cstate="print">
                      <a:extLst>
                        <a:ext uri="{28A0092B-C50C-407E-A947-70E740481C1C}">
                          <a14:useLocalDpi xmlns:a14="http://schemas.microsoft.com/office/drawing/2010/main" val="0"/>
                        </a:ext>
                      </a:extLst>
                    </a:blip>
                    <a:stretch>
                      <a:fillRect/>
                    </a:stretch>
                  </pic:blipFill>
                  <pic:spPr>
                    <a:xfrm>
                      <a:off x="0" y="0"/>
                      <a:ext cx="2561784" cy="1703442"/>
                    </a:xfrm>
                    <a:prstGeom prst="rect">
                      <a:avLst/>
                    </a:prstGeom>
                    <a:noFill/>
                    <a:ln>
                      <a:noFill/>
                    </a:ln>
                  </pic:spPr>
                </pic:pic>
              </a:graphicData>
            </a:graphic>
          </wp:inline>
        </w:drawing>
      </w:r>
      <w:r>
        <w:rPr>
          <w:color w:val="666666"/>
          <w:szCs w:val="21"/>
        </w:rPr>
        <w:drawing>
          <wp:inline distT="0" distB="0" distL="0" distR="0">
            <wp:extent cx="2552700" cy="1697355"/>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2" r:link="rId13" cstate="print">
                      <a:extLst>
                        <a:ext uri="{28A0092B-C50C-407E-A947-70E740481C1C}">
                          <a14:useLocalDpi xmlns:a14="http://schemas.microsoft.com/office/drawing/2010/main" val="0"/>
                        </a:ext>
                      </a:extLst>
                    </a:blip>
                    <a:stretch>
                      <a:fillRect/>
                    </a:stretch>
                  </pic:blipFill>
                  <pic:spPr>
                    <a:xfrm>
                      <a:off x="0" y="0"/>
                      <a:ext cx="2554757" cy="1698770"/>
                    </a:xfrm>
                    <a:prstGeom prst="rect">
                      <a:avLst/>
                    </a:prstGeom>
                    <a:noFill/>
                    <a:ln>
                      <a:noFill/>
                    </a:ln>
                  </pic:spPr>
                </pic:pic>
              </a:graphicData>
            </a:graphic>
          </wp:inline>
        </w:drawing>
      </w:r>
    </w:p>
    <w:p w14:paraId="420FF031">
      <w:pPr>
        <w:pStyle w:val="2"/>
        <w:rPr>
          <w:b w:val="0"/>
          <w:kern w:val="0"/>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w:t>
      </w:r>
      <w:r>
        <w:fldChar w:fldCharType="end"/>
      </w:r>
      <w:r>
        <w:rPr>
          <w:rFonts w:ascii="Times New Roman" w:hAnsi="Times New Roman"/>
          <w:kern w:val="0"/>
        </w:rPr>
        <w:t>参加行业高端展会</w:t>
      </w:r>
    </w:p>
    <w:p w14:paraId="729DAECF">
      <w:pPr>
        <w:adjustRightInd w:val="0"/>
        <w:snapToGrid w:val="0"/>
        <w:spacing w:line="300" w:lineRule="auto"/>
        <w:rPr>
          <w:color w:val="898989"/>
          <w:sz w:val="24"/>
        </w:rPr>
      </w:pPr>
      <w:r>
        <w:rPr>
          <w:color w:val="898989"/>
          <w:sz w:val="24"/>
        </w:rPr>
        <w:drawing>
          <wp:anchor distT="0" distB="0" distL="114300" distR="114300" simplePos="0" relativeHeight="251659264" behindDoc="0" locked="0" layoutInCell="1" allowOverlap="1">
            <wp:simplePos x="0" y="0"/>
            <wp:positionH relativeFrom="column">
              <wp:posOffset>2824480</wp:posOffset>
            </wp:positionH>
            <wp:positionV relativeFrom="paragraph">
              <wp:posOffset>116205</wp:posOffset>
            </wp:positionV>
            <wp:extent cx="2705100" cy="1796415"/>
            <wp:effectExtent l="0" t="0" r="0" b="3810"/>
            <wp:wrapTopAndBottom/>
            <wp:docPr id="30" name="图片 5" descr="1-150910142GH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1-150910142GH00"/>
                    <pic:cNvPicPr>
                      <a:picLocks noChangeAspect="1"/>
                    </pic:cNvPicPr>
                  </pic:nvPicPr>
                  <pic:blipFill>
                    <a:blip r:embed="rId14" r:link="rId15"/>
                    <a:stretch>
                      <a:fillRect/>
                    </a:stretch>
                  </pic:blipFill>
                  <pic:spPr>
                    <a:xfrm>
                      <a:off x="0" y="0"/>
                      <a:ext cx="2705100" cy="1796415"/>
                    </a:xfrm>
                    <a:prstGeom prst="rect">
                      <a:avLst/>
                    </a:prstGeom>
                    <a:noFill/>
                    <a:ln>
                      <a:noFill/>
                    </a:ln>
                  </pic:spPr>
                </pic:pic>
              </a:graphicData>
            </a:graphic>
          </wp:anchor>
        </w:drawing>
      </w:r>
      <w:r>
        <w:rPr>
          <w:sz w:val="24"/>
          <w:szCs w:val="28"/>
        </w:rPr>
        <w:drawing>
          <wp:anchor distT="0" distB="0" distL="114300" distR="114300" simplePos="0" relativeHeight="251660288" behindDoc="0" locked="0" layoutInCell="1" allowOverlap="1">
            <wp:simplePos x="0" y="0"/>
            <wp:positionH relativeFrom="column">
              <wp:posOffset>-33655</wp:posOffset>
            </wp:positionH>
            <wp:positionV relativeFrom="paragraph">
              <wp:posOffset>130175</wp:posOffset>
            </wp:positionV>
            <wp:extent cx="2700655" cy="1798955"/>
            <wp:effectExtent l="0" t="0" r="4445" b="10795"/>
            <wp:wrapTopAndBottom/>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6"/>
                    <a:stretch>
                      <a:fillRect/>
                    </a:stretch>
                  </pic:blipFill>
                  <pic:spPr>
                    <a:xfrm>
                      <a:off x="0" y="0"/>
                      <a:ext cx="2700655" cy="1798955"/>
                    </a:xfrm>
                    <a:prstGeom prst="rect">
                      <a:avLst/>
                    </a:prstGeom>
                    <a:noFill/>
                    <a:ln>
                      <a:noFill/>
                    </a:ln>
                  </pic:spPr>
                </pic:pic>
              </a:graphicData>
            </a:graphic>
          </wp:anchor>
        </w:drawing>
      </w:r>
      <w:r>
        <w:rPr>
          <w:color w:val="898989"/>
          <w:sz w:val="24"/>
        </w:rPr>
        <w:t xml:space="preserve"> </w:t>
      </w:r>
    </w:p>
    <w:p w14:paraId="611424C7">
      <w:pPr>
        <w:pStyle w:val="2"/>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w:t>
      </w:r>
      <w:r>
        <w:fldChar w:fldCharType="end"/>
      </w:r>
      <w:r>
        <w:rPr>
          <w:rFonts w:ascii="Times New Roman" w:hAnsi="Times New Roman"/>
          <w:kern w:val="0"/>
        </w:rPr>
        <w:t xml:space="preserve">媒体报道                   </w:t>
      </w: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w:t>
      </w:r>
      <w:r>
        <w:fldChar w:fldCharType="end"/>
      </w:r>
      <w:r>
        <w:rPr>
          <w:rFonts w:ascii="Times New Roman" w:hAnsi="Times New Roman"/>
          <w:kern w:val="0"/>
        </w:rPr>
        <w:t>新品发布会</w:t>
      </w:r>
    </w:p>
    <w:p w14:paraId="44447887">
      <w:pPr>
        <w:numPr>
          <w:ilvl w:val="0"/>
          <w:numId w:val="2"/>
        </w:numPr>
        <w:jc w:val="left"/>
        <w:rPr>
          <w:rFonts w:ascii="楷体" w:hAnsi="楷体" w:eastAsia="楷体" w:cs="楷体"/>
          <w:b/>
          <w:sz w:val="28"/>
          <w:szCs w:val="28"/>
          <w:lang w:bidi="ar"/>
        </w:rPr>
      </w:pPr>
      <w:r>
        <w:rPr>
          <w:rFonts w:hint="eastAsia" w:ascii="楷体" w:hAnsi="楷体" w:eastAsia="楷体" w:cs="楷体"/>
          <w:b/>
          <w:sz w:val="28"/>
          <w:szCs w:val="28"/>
          <w:lang w:bidi="ar"/>
        </w:rPr>
        <w:t>科技引领核心竞争力，为客户提供全方位服务</w:t>
      </w:r>
    </w:p>
    <w:p w14:paraId="0DD4D14E">
      <w:pPr>
        <w:adjustRightInd w:val="0"/>
        <w:snapToGrid w:val="0"/>
        <w:spacing w:line="360" w:lineRule="auto"/>
        <w:ind w:firstLine="480" w:firstLineChars="200"/>
        <w:rPr>
          <w:sz w:val="24"/>
          <w:szCs w:val="28"/>
        </w:rPr>
      </w:pPr>
      <w:r>
        <w:rPr>
          <w:sz w:val="24"/>
          <w:szCs w:val="28"/>
        </w:rPr>
        <w:t>创业伊始，弗尔德与欧洲电梯行业的曳引系统领先供应商——西班牙科隆有限公司建立了技术合作伙伴关系，双方在包括研发合作、技术整合与技术支持等方面都有着深入合作。西班牙科隆有限公司是一家以优质产品和竞争性价格驱动产业发展的曳引系统生产商，自1995年成立以来，公司在曳引系统的创新革命中发挥了突出的作用。公司于2015年6月份，与科隆公司强强联手，形成技术资源共享的战略合作伙伴关系；产品设计采用欧洲先进的电磁设计方案，通过3D模拟及有限元分析软件，将曳引机电磁系统、机械系统及控制系统匹配中的不稳定因素降到最低，有效的提高了曳引机的运行效率和舒适感。目前公司生产的曳引机产品涵盖高速梯、医用梯、特殊环境下使用的高防护梯、货梯、小机房、无机房、家用梯、钢带主机等几大类型，产品外形结构设计有紧凑型内转子结构，超薄型外转子结构，内转子无支撑复绕结构，外转子双支撑结构；产品体积小、重量轻、安装维护方便。振动小、噪声低、防护等级高(IP54)、制动器免于维护等特点;客户现场使用安全、舒适、节能、环保。</w:t>
      </w:r>
    </w:p>
    <w:p w14:paraId="26D45529">
      <w:pPr>
        <w:adjustRightInd w:val="0"/>
        <w:snapToGrid w:val="0"/>
        <w:spacing w:before="62" w:beforeLines="20" w:line="300" w:lineRule="auto"/>
        <w:rPr>
          <w:sz w:val="24"/>
          <w:szCs w:val="28"/>
        </w:rPr>
      </w:pPr>
      <w:r>
        <w:rPr>
          <w:sz w:val="24"/>
          <w:szCs w:val="28"/>
        </w:rPr>
        <w:drawing>
          <wp:inline distT="0" distB="0" distL="114300" distR="114300">
            <wp:extent cx="5574030" cy="1582420"/>
            <wp:effectExtent l="0" t="0" r="762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574030" cy="1582420"/>
                    </a:xfrm>
                    <a:prstGeom prst="rect">
                      <a:avLst/>
                    </a:prstGeom>
                    <a:noFill/>
                    <a:ln>
                      <a:noFill/>
                    </a:ln>
                  </pic:spPr>
                </pic:pic>
              </a:graphicData>
            </a:graphic>
          </wp:inline>
        </w:drawing>
      </w:r>
    </w:p>
    <w:p w14:paraId="7C3E262D">
      <w:pPr>
        <w:pStyle w:val="2"/>
        <w:rPr>
          <w:rFonts w:ascii="Times New Roman" w:hAnsi="Times New Roman"/>
          <w:szCs w:val="28"/>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w:t>
      </w:r>
      <w:r>
        <w:fldChar w:fldCharType="end"/>
      </w:r>
      <w:r>
        <w:rPr>
          <w:rFonts w:ascii="Times New Roman" w:hAnsi="Times New Roman"/>
          <w:szCs w:val="28"/>
        </w:rPr>
        <w:t>公司与西班牙科隆开展技术交流</w:t>
      </w:r>
    </w:p>
    <w:p w14:paraId="47BC9AB1">
      <w:pPr>
        <w:adjustRightInd w:val="0"/>
        <w:snapToGrid w:val="0"/>
        <w:spacing w:line="360" w:lineRule="auto"/>
        <w:ind w:firstLine="480" w:firstLineChars="200"/>
        <w:rPr>
          <w:sz w:val="24"/>
          <w:szCs w:val="28"/>
        </w:rPr>
      </w:pPr>
      <w:r>
        <w:rPr>
          <w:sz w:val="24"/>
          <w:szCs w:val="28"/>
        </w:rPr>
        <w:t>在吸收引进国外先进技术的同时，弗尔德发挥自主创新能力，</w:t>
      </w:r>
      <w:bookmarkStart w:id="0" w:name="_Hlk83553171"/>
      <w:r>
        <w:rPr>
          <w:sz w:val="24"/>
          <w:szCs w:val="28"/>
        </w:rPr>
        <w:t>与浙江大学、中国计量大学、安徽大学、南京理工大学、湖州师范学院等建立产学研合作关系。</w:t>
      </w:r>
    </w:p>
    <w:p w14:paraId="5F19A26B">
      <w:pPr>
        <w:pStyle w:val="2"/>
        <w:rPr>
          <w:rFonts w:ascii="Times New Roman" w:hAnsi="Times New Roman"/>
          <w:szCs w:val="28"/>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1</w:t>
      </w:r>
      <w:r>
        <w:fldChar w:fldCharType="end"/>
      </w:r>
      <w:r>
        <w:rPr>
          <w:rFonts w:ascii="Times New Roman" w:hAnsi="Times New Roman"/>
          <w:szCs w:val="28"/>
        </w:rPr>
        <w:t>公司产学研合作清单</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2176"/>
        <w:gridCol w:w="2841"/>
        <w:gridCol w:w="2763"/>
      </w:tblGrid>
      <w:tr w14:paraId="7BE5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183883"/>
            <w:vAlign w:val="center"/>
          </w:tcPr>
          <w:p w14:paraId="553F5C17">
            <w:pPr>
              <w:adjustRightInd w:val="0"/>
              <w:snapToGrid w:val="0"/>
              <w:spacing w:line="300" w:lineRule="auto"/>
              <w:jc w:val="center"/>
              <w:rPr>
                <w:color w:val="FFFFFF"/>
                <w:sz w:val="24"/>
                <w:szCs w:val="28"/>
              </w:rPr>
            </w:pPr>
            <w:r>
              <w:rPr>
                <w:color w:val="FFFFFF"/>
                <w:sz w:val="24"/>
                <w:szCs w:val="28"/>
              </w:rPr>
              <w:t>序号</w:t>
            </w:r>
          </w:p>
        </w:tc>
        <w:tc>
          <w:tcPr>
            <w:tcW w:w="1378" w:type="dxa"/>
            <w:shd w:val="clear" w:color="auto" w:fill="183883"/>
            <w:vAlign w:val="center"/>
          </w:tcPr>
          <w:p w14:paraId="587B7021">
            <w:pPr>
              <w:adjustRightInd w:val="0"/>
              <w:snapToGrid w:val="0"/>
              <w:spacing w:line="300" w:lineRule="auto"/>
              <w:jc w:val="center"/>
              <w:rPr>
                <w:color w:val="FFFFFF"/>
                <w:sz w:val="24"/>
                <w:szCs w:val="28"/>
              </w:rPr>
            </w:pPr>
            <w:r>
              <w:rPr>
                <w:color w:val="FFFFFF"/>
                <w:sz w:val="24"/>
                <w:szCs w:val="28"/>
              </w:rPr>
              <w:t>时间</w:t>
            </w:r>
          </w:p>
        </w:tc>
        <w:tc>
          <w:tcPr>
            <w:tcW w:w="3202" w:type="dxa"/>
            <w:shd w:val="clear" w:color="auto" w:fill="183883"/>
            <w:vAlign w:val="center"/>
          </w:tcPr>
          <w:p w14:paraId="493DCAEE">
            <w:pPr>
              <w:adjustRightInd w:val="0"/>
              <w:snapToGrid w:val="0"/>
              <w:spacing w:line="300" w:lineRule="auto"/>
              <w:jc w:val="center"/>
              <w:rPr>
                <w:color w:val="FFFFFF"/>
                <w:sz w:val="24"/>
                <w:szCs w:val="28"/>
              </w:rPr>
            </w:pPr>
            <w:r>
              <w:rPr>
                <w:color w:val="FFFFFF"/>
                <w:sz w:val="24"/>
                <w:szCs w:val="28"/>
              </w:rPr>
              <w:t>合作院校</w:t>
            </w:r>
          </w:p>
        </w:tc>
        <w:tc>
          <w:tcPr>
            <w:tcW w:w="3152" w:type="dxa"/>
            <w:shd w:val="clear" w:color="auto" w:fill="183883"/>
            <w:vAlign w:val="center"/>
          </w:tcPr>
          <w:p w14:paraId="6E7647B6">
            <w:pPr>
              <w:adjustRightInd w:val="0"/>
              <w:snapToGrid w:val="0"/>
              <w:spacing w:line="300" w:lineRule="auto"/>
              <w:jc w:val="center"/>
              <w:rPr>
                <w:color w:val="FFFFFF"/>
                <w:sz w:val="24"/>
                <w:szCs w:val="28"/>
              </w:rPr>
            </w:pPr>
            <w:r>
              <w:rPr>
                <w:color w:val="FFFFFF"/>
                <w:sz w:val="24"/>
                <w:szCs w:val="28"/>
              </w:rPr>
              <w:t>合作项目</w:t>
            </w:r>
          </w:p>
        </w:tc>
      </w:tr>
      <w:tr w14:paraId="44B89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14:paraId="1B2D47CF">
            <w:pPr>
              <w:adjustRightInd w:val="0"/>
              <w:snapToGrid w:val="0"/>
              <w:spacing w:line="300" w:lineRule="auto"/>
              <w:jc w:val="center"/>
              <w:rPr>
                <w:sz w:val="24"/>
                <w:szCs w:val="28"/>
              </w:rPr>
            </w:pPr>
            <w:r>
              <w:rPr>
                <w:sz w:val="24"/>
                <w:szCs w:val="28"/>
              </w:rPr>
              <w:t>1</w:t>
            </w:r>
          </w:p>
        </w:tc>
        <w:tc>
          <w:tcPr>
            <w:tcW w:w="1378" w:type="dxa"/>
            <w:shd w:val="clear" w:color="auto" w:fill="auto"/>
            <w:vAlign w:val="center"/>
          </w:tcPr>
          <w:p w14:paraId="42F06756">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2019.6</w:t>
            </w:r>
          </w:p>
        </w:tc>
        <w:tc>
          <w:tcPr>
            <w:tcW w:w="3202" w:type="dxa"/>
            <w:shd w:val="clear" w:color="auto" w:fill="auto"/>
            <w:vAlign w:val="center"/>
          </w:tcPr>
          <w:p w14:paraId="51A78D81">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中国计量大学</w:t>
            </w:r>
          </w:p>
        </w:tc>
        <w:tc>
          <w:tcPr>
            <w:tcW w:w="3152" w:type="dxa"/>
            <w:shd w:val="clear" w:color="auto" w:fill="auto"/>
            <w:vAlign w:val="center"/>
          </w:tcPr>
          <w:p w14:paraId="2760F3BF">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无齿轮永磁同步电梯曳引机及智能控制系统的研发与应用</w:t>
            </w:r>
          </w:p>
        </w:tc>
      </w:tr>
      <w:tr w14:paraId="7FE49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14:paraId="43468209">
            <w:pPr>
              <w:adjustRightInd w:val="0"/>
              <w:snapToGrid w:val="0"/>
              <w:spacing w:line="300" w:lineRule="auto"/>
              <w:jc w:val="center"/>
              <w:rPr>
                <w:sz w:val="24"/>
                <w:szCs w:val="28"/>
              </w:rPr>
            </w:pPr>
            <w:r>
              <w:rPr>
                <w:sz w:val="24"/>
                <w:szCs w:val="28"/>
              </w:rPr>
              <w:t>2</w:t>
            </w:r>
          </w:p>
        </w:tc>
        <w:tc>
          <w:tcPr>
            <w:tcW w:w="1378" w:type="dxa"/>
            <w:shd w:val="clear" w:color="auto" w:fill="auto"/>
            <w:vAlign w:val="center"/>
          </w:tcPr>
          <w:p w14:paraId="28C8C43B">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2018.3</w:t>
            </w:r>
          </w:p>
        </w:tc>
        <w:tc>
          <w:tcPr>
            <w:tcW w:w="3202" w:type="dxa"/>
            <w:shd w:val="clear" w:color="auto" w:fill="auto"/>
            <w:vAlign w:val="center"/>
          </w:tcPr>
          <w:p w14:paraId="04981B68">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中国计量大学</w:t>
            </w:r>
          </w:p>
        </w:tc>
        <w:tc>
          <w:tcPr>
            <w:tcW w:w="3152" w:type="dxa"/>
            <w:shd w:val="clear" w:color="auto" w:fill="auto"/>
            <w:vAlign w:val="center"/>
          </w:tcPr>
          <w:p w14:paraId="6D8D2C43">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物流仓储与发放管理系统研发</w:t>
            </w:r>
          </w:p>
        </w:tc>
      </w:tr>
      <w:tr w14:paraId="0320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14:paraId="27058BEC">
            <w:pPr>
              <w:adjustRightInd w:val="0"/>
              <w:snapToGrid w:val="0"/>
              <w:spacing w:line="300" w:lineRule="auto"/>
              <w:jc w:val="center"/>
              <w:rPr>
                <w:sz w:val="24"/>
                <w:szCs w:val="28"/>
              </w:rPr>
            </w:pPr>
            <w:r>
              <w:rPr>
                <w:sz w:val="24"/>
                <w:szCs w:val="28"/>
              </w:rPr>
              <w:t>3</w:t>
            </w:r>
          </w:p>
        </w:tc>
        <w:tc>
          <w:tcPr>
            <w:tcW w:w="1378" w:type="dxa"/>
            <w:shd w:val="clear" w:color="auto" w:fill="auto"/>
            <w:vAlign w:val="center"/>
          </w:tcPr>
          <w:p w14:paraId="24CED16B">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2021.3</w:t>
            </w:r>
          </w:p>
        </w:tc>
        <w:tc>
          <w:tcPr>
            <w:tcW w:w="3202" w:type="dxa"/>
            <w:shd w:val="clear" w:color="auto" w:fill="auto"/>
            <w:vAlign w:val="center"/>
          </w:tcPr>
          <w:p w14:paraId="5761CDA5">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南京理工大学</w:t>
            </w:r>
          </w:p>
        </w:tc>
        <w:tc>
          <w:tcPr>
            <w:tcW w:w="3152" w:type="dxa"/>
            <w:shd w:val="clear" w:color="auto" w:fill="auto"/>
            <w:vAlign w:val="center"/>
          </w:tcPr>
          <w:p w14:paraId="5600E10F">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应用于智能楼宇的发电/储能综合能源管理关键技术研究</w:t>
            </w:r>
          </w:p>
        </w:tc>
      </w:tr>
      <w:tr w14:paraId="2BD9D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14:paraId="45240657">
            <w:pPr>
              <w:adjustRightInd w:val="0"/>
              <w:snapToGrid w:val="0"/>
              <w:spacing w:line="300" w:lineRule="auto"/>
              <w:jc w:val="center"/>
              <w:rPr>
                <w:sz w:val="24"/>
                <w:szCs w:val="28"/>
              </w:rPr>
            </w:pPr>
            <w:r>
              <w:rPr>
                <w:sz w:val="24"/>
                <w:szCs w:val="28"/>
              </w:rPr>
              <w:t>4</w:t>
            </w:r>
          </w:p>
        </w:tc>
        <w:tc>
          <w:tcPr>
            <w:tcW w:w="1378" w:type="dxa"/>
            <w:shd w:val="clear" w:color="auto" w:fill="auto"/>
            <w:vAlign w:val="center"/>
          </w:tcPr>
          <w:p w14:paraId="7364E1C0">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2021.3</w:t>
            </w:r>
          </w:p>
        </w:tc>
        <w:tc>
          <w:tcPr>
            <w:tcW w:w="3202" w:type="dxa"/>
            <w:shd w:val="clear" w:color="auto" w:fill="auto"/>
            <w:vAlign w:val="center"/>
          </w:tcPr>
          <w:p w14:paraId="40FDAD4E">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南京理工大学</w:t>
            </w:r>
          </w:p>
        </w:tc>
        <w:tc>
          <w:tcPr>
            <w:tcW w:w="3152" w:type="dxa"/>
            <w:shd w:val="clear" w:color="auto" w:fill="auto"/>
            <w:vAlign w:val="center"/>
          </w:tcPr>
          <w:p w14:paraId="706F42BD">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基于微网的电梯能量回馈关键技术研究</w:t>
            </w:r>
          </w:p>
        </w:tc>
      </w:tr>
      <w:tr w14:paraId="6F47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14:paraId="48E6CE2E">
            <w:pPr>
              <w:adjustRightInd w:val="0"/>
              <w:snapToGrid w:val="0"/>
              <w:spacing w:line="300" w:lineRule="auto"/>
              <w:jc w:val="center"/>
              <w:rPr>
                <w:sz w:val="24"/>
                <w:szCs w:val="28"/>
              </w:rPr>
            </w:pPr>
            <w:r>
              <w:rPr>
                <w:sz w:val="24"/>
                <w:szCs w:val="28"/>
              </w:rPr>
              <w:t>5</w:t>
            </w:r>
          </w:p>
        </w:tc>
        <w:tc>
          <w:tcPr>
            <w:tcW w:w="1378" w:type="dxa"/>
            <w:shd w:val="clear" w:color="auto" w:fill="auto"/>
            <w:vAlign w:val="center"/>
          </w:tcPr>
          <w:p w14:paraId="0AC871AB">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2021.7</w:t>
            </w:r>
          </w:p>
        </w:tc>
        <w:tc>
          <w:tcPr>
            <w:tcW w:w="3202" w:type="dxa"/>
            <w:shd w:val="clear" w:color="auto" w:fill="auto"/>
            <w:vAlign w:val="center"/>
          </w:tcPr>
          <w:p w14:paraId="14D3D9B6">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安徽大学</w:t>
            </w:r>
          </w:p>
        </w:tc>
        <w:tc>
          <w:tcPr>
            <w:tcW w:w="3152" w:type="dxa"/>
            <w:shd w:val="clear" w:color="auto" w:fill="auto"/>
            <w:vAlign w:val="center"/>
          </w:tcPr>
          <w:p w14:paraId="20694A1F">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高效永磁同步无齿轮曳引机开发及产业化</w:t>
            </w:r>
          </w:p>
        </w:tc>
      </w:tr>
      <w:tr w14:paraId="4D0F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14:paraId="2F15041E">
            <w:pPr>
              <w:adjustRightInd w:val="0"/>
              <w:snapToGrid w:val="0"/>
              <w:spacing w:line="300" w:lineRule="auto"/>
              <w:jc w:val="center"/>
              <w:rPr>
                <w:sz w:val="24"/>
                <w:szCs w:val="28"/>
              </w:rPr>
            </w:pPr>
            <w:r>
              <w:rPr>
                <w:sz w:val="24"/>
                <w:szCs w:val="28"/>
              </w:rPr>
              <w:t>6</w:t>
            </w:r>
          </w:p>
        </w:tc>
        <w:tc>
          <w:tcPr>
            <w:tcW w:w="1378" w:type="dxa"/>
            <w:shd w:val="clear" w:color="auto" w:fill="auto"/>
            <w:vAlign w:val="center"/>
          </w:tcPr>
          <w:p w14:paraId="244F1C8A">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2021.8</w:t>
            </w:r>
          </w:p>
        </w:tc>
        <w:tc>
          <w:tcPr>
            <w:tcW w:w="3202" w:type="dxa"/>
            <w:shd w:val="clear" w:color="auto" w:fill="auto"/>
            <w:vAlign w:val="center"/>
          </w:tcPr>
          <w:p w14:paraId="7A99756F">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浙江大学、安川双菱电梯有限公司、湖州市南浔区精川智能驱动研究院</w:t>
            </w:r>
          </w:p>
        </w:tc>
        <w:tc>
          <w:tcPr>
            <w:tcW w:w="3152" w:type="dxa"/>
            <w:shd w:val="clear" w:color="auto" w:fill="auto"/>
            <w:vAlign w:val="center"/>
          </w:tcPr>
          <w:p w14:paraId="79B30567">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电梯行业网络协同制造平台</w:t>
            </w:r>
          </w:p>
        </w:tc>
      </w:tr>
      <w:tr w14:paraId="2420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14:paraId="0C3FC441">
            <w:pPr>
              <w:adjustRightInd w:val="0"/>
              <w:snapToGrid w:val="0"/>
              <w:spacing w:line="300" w:lineRule="auto"/>
              <w:jc w:val="center"/>
              <w:rPr>
                <w:sz w:val="24"/>
                <w:szCs w:val="28"/>
              </w:rPr>
            </w:pPr>
            <w:r>
              <w:rPr>
                <w:sz w:val="24"/>
                <w:szCs w:val="28"/>
              </w:rPr>
              <w:t>7</w:t>
            </w:r>
          </w:p>
        </w:tc>
        <w:tc>
          <w:tcPr>
            <w:tcW w:w="1378" w:type="dxa"/>
            <w:shd w:val="clear" w:color="auto" w:fill="auto"/>
            <w:vAlign w:val="center"/>
          </w:tcPr>
          <w:p w14:paraId="1F7D2AA2">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2021.7</w:t>
            </w:r>
          </w:p>
        </w:tc>
        <w:tc>
          <w:tcPr>
            <w:tcW w:w="3202" w:type="dxa"/>
            <w:shd w:val="clear" w:color="auto" w:fill="auto"/>
            <w:vAlign w:val="center"/>
          </w:tcPr>
          <w:p w14:paraId="01A0F3B5">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湖州师范学院</w:t>
            </w:r>
          </w:p>
        </w:tc>
        <w:tc>
          <w:tcPr>
            <w:tcW w:w="3152" w:type="dxa"/>
            <w:shd w:val="clear" w:color="auto" w:fill="auto"/>
            <w:vAlign w:val="center"/>
          </w:tcPr>
          <w:p w14:paraId="70337099">
            <w:pPr>
              <w:adjustRightInd w:val="0"/>
              <w:snapToGrid w:val="0"/>
              <w:spacing w:line="300" w:lineRule="auto"/>
              <w:jc w:val="center"/>
              <w:rPr>
                <w:rFonts w:ascii="Times New Roman" w:hAnsi="Times New Roman" w:eastAsia="宋体" w:cs="Times New Roman"/>
                <w:kern w:val="2"/>
                <w:sz w:val="24"/>
                <w:szCs w:val="28"/>
                <w:lang w:val="en-US" w:eastAsia="zh-CN" w:bidi="ar-SA"/>
              </w:rPr>
            </w:pPr>
            <w:r>
              <w:rPr>
                <w:sz w:val="24"/>
                <w:szCs w:val="28"/>
              </w:rPr>
              <w:t>产学研合作示范基地</w:t>
            </w:r>
          </w:p>
        </w:tc>
      </w:tr>
      <w:tr w14:paraId="41DE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90" w:type="dxa"/>
            <w:shd w:val="clear" w:color="auto" w:fill="auto"/>
            <w:vAlign w:val="center"/>
          </w:tcPr>
          <w:p w14:paraId="024714EE">
            <w:pPr>
              <w:adjustRightInd w:val="0"/>
              <w:snapToGrid w:val="0"/>
              <w:spacing w:line="300" w:lineRule="auto"/>
              <w:jc w:val="center"/>
              <w:rPr>
                <w:rFonts w:hint="eastAsia" w:eastAsia="宋体"/>
                <w:sz w:val="24"/>
                <w:szCs w:val="28"/>
                <w:lang w:val="en-US" w:eastAsia="zh-CN"/>
              </w:rPr>
            </w:pPr>
            <w:bookmarkStart w:id="1" w:name="_Hlk83553178"/>
            <w:r>
              <w:rPr>
                <w:rFonts w:hint="eastAsia"/>
                <w:sz w:val="24"/>
                <w:szCs w:val="28"/>
                <w:lang w:val="en-US" w:eastAsia="zh-CN"/>
              </w:rPr>
              <w:t>8</w:t>
            </w:r>
          </w:p>
        </w:tc>
        <w:tc>
          <w:tcPr>
            <w:tcW w:w="1378" w:type="dxa"/>
            <w:shd w:val="clear" w:color="auto" w:fill="auto"/>
            <w:vAlign w:val="center"/>
          </w:tcPr>
          <w:p w14:paraId="05755C1A">
            <w:pPr>
              <w:adjustRightInd w:val="0"/>
              <w:snapToGrid w:val="0"/>
              <w:spacing w:line="300" w:lineRule="auto"/>
              <w:jc w:val="center"/>
              <w:rPr>
                <w:rFonts w:hint="default" w:eastAsia="宋体"/>
                <w:sz w:val="24"/>
                <w:szCs w:val="28"/>
                <w:lang w:val="en-US" w:eastAsia="zh-CN"/>
              </w:rPr>
            </w:pPr>
            <w:r>
              <w:rPr>
                <w:rFonts w:hint="eastAsia"/>
                <w:sz w:val="24"/>
                <w:szCs w:val="28"/>
                <w:lang w:val="en-US" w:eastAsia="zh-CN"/>
              </w:rPr>
              <w:t>2022.4.4--2024.3.31</w:t>
            </w:r>
          </w:p>
        </w:tc>
        <w:tc>
          <w:tcPr>
            <w:tcW w:w="3202" w:type="dxa"/>
            <w:shd w:val="clear" w:color="auto" w:fill="auto"/>
            <w:vAlign w:val="center"/>
          </w:tcPr>
          <w:p w14:paraId="7B3F798F">
            <w:pPr>
              <w:adjustRightInd w:val="0"/>
              <w:snapToGrid w:val="0"/>
              <w:spacing w:line="300" w:lineRule="auto"/>
              <w:jc w:val="center"/>
              <w:rPr>
                <w:rFonts w:hint="default" w:eastAsia="宋体"/>
                <w:sz w:val="24"/>
                <w:szCs w:val="28"/>
                <w:lang w:val="en-US" w:eastAsia="zh-CN"/>
              </w:rPr>
            </w:pPr>
            <w:r>
              <w:rPr>
                <w:rFonts w:hint="eastAsia"/>
                <w:sz w:val="24"/>
                <w:szCs w:val="28"/>
                <w:lang w:val="en-US" w:eastAsia="zh-CN"/>
              </w:rPr>
              <w:t>南京林业大学</w:t>
            </w:r>
          </w:p>
        </w:tc>
        <w:tc>
          <w:tcPr>
            <w:tcW w:w="3152" w:type="dxa"/>
            <w:shd w:val="clear" w:color="auto" w:fill="auto"/>
            <w:vAlign w:val="center"/>
          </w:tcPr>
          <w:p w14:paraId="1E388AF3">
            <w:pPr>
              <w:adjustRightInd w:val="0"/>
              <w:snapToGrid w:val="0"/>
              <w:spacing w:line="300" w:lineRule="auto"/>
              <w:jc w:val="center"/>
              <w:rPr>
                <w:rFonts w:hint="default" w:eastAsia="宋体"/>
                <w:sz w:val="24"/>
                <w:szCs w:val="28"/>
                <w:lang w:val="en-US" w:eastAsia="zh-CN"/>
              </w:rPr>
            </w:pPr>
            <w:r>
              <w:rPr>
                <w:rFonts w:hint="eastAsia"/>
                <w:sz w:val="24"/>
                <w:szCs w:val="28"/>
                <w:lang w:val="en-US" w:eastAsia="zh-CN"/>
              </w:rPr>
              <w:t>基于超大力矩制动器的越超大载重电梯曳引机的研发</w:t>
            </w:r>
          </w:p>
        </w:tc>
      </w:tr>
      <w:tr w14:paraId="6E4F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14:paraId="1A6727AD">
            <w:pPr>
              <w:pStyle w:val="9"/>
              <w:ind w:left="0" w:leftChars="0" w:firstLine="0" w:firstLineChars="0"/>
              <w:jc w:val="center"/>
              <w:rPr>
                <w:rFonts w:hint="eastAsia" w:eastAsia="宋体"/>
                <w:lang w:val="en-US" w:eastAsia="zh-CN"/>
              </w:rPr>
            </w:pPr>
            <w:r>
              <w:rPr>
                <w:rFonts w:hint="eastAsia"/>
                <w:lang w:val="en-US" w:eastAsia="zh-CN"/>
              </w:rPr>
              <w:t>9</w:t>
            </w:r>
          </w:p>
        </w:tc>
        <w:tc>
          <w:tcPr>
            <w:tcW w:w="1378" w:type="dxa"/>
            <w:shd w:val="clear" w:color="auto" w:fill="auto"/>
            <w:vAlign w:val="center"/>
          </w:tcPr>
          <w:p w14:paraId="1F16A669">
            <w:pPr>
              <w:adjustRightInd w:val="0"/>
              <w:snapToGrid w:val="0"/>
              <w:spacing w:line="300" w:lineRule="auto"/>
              <w:jc w:val="center"/>
              <w:rPr>
                <w:rFonts w:hint="default" w:eastAsia="宋体"/>
                <w:sz w:val="24"/>
                <w:szCs w:val="28"/>
                <w:lang w:val="en-US" w:eastAsia="zh-CN"/>
              </w:rPr>
            </w:pPr>
            <w:r>
              <w:rPr>
                <w:rFonts w:hint="eastAsia"/>
                <w:sz w:val="24"/>
                <w:szCs w:val="28"/>
                <w:lang w:val="en-US" w:eastAsia="zh-CN"/>
              </w:rPr>
              <w:t>2022.4.1--2027.4.1</w:t>
            </w:r>
          </w:p>
        </w:tc>
        <w:tc>
          <w:tcPr>
            <w:tcW w:w="3202" w:type="dxa"/>
            <w:shd w:val="clear" w:color="auto" w:fill="auto"/>
            <w:vAlign w:val="center"/>
          </w:tcPr>
          <w:p w14:paraId="26A706CC">
            <w:pPr>
              <w:adjustRightInd w:val="0"/>
              <w:snapToGrid w:val="0"/>
              <w:spacing w:line="300" w:lineRule="auto"/>
              <w:jc w:val="center"/>
              <w:rPr>
                <w:rFonts w:hint="default" w:eastAsia="宋体"/>
                <w:sz w:val="24"/>
                <w:szCs w:val="28"/>
                <w:lang w:val="en-US" w:eastAsia="zh-CN"/>
              </w:rPr>
            </w:pPr>
            <w:r>
              <w:rPr>
                <w:rFonts w:hint="eastAsia"/>
                <w:sz w:val="24"/>
                <w:szCs w:val="28"/>
                <w:lang w:val="en-US" w:eastAsia="zh-CN"/>
              </w:rPr>
              <w:t>南京林业大学</w:t>
            </w:r>
          </w:p>
        </w:tc>
        <w:tc>
          <w:tcPr>
            <w:tcW w:w="3152" w:type="dxa"/>
            <w:shd w:val="clear" w:color="auto" w:fill="auto"/>
            <w:vAlign w:val="center"/>
          </w:tcPr>
          <w:p w14:paraId="6C29119B">
            <w:pPr>
              <w:adjustRightInd w:val="0"/>
              <w:snapToGrid w:val="0"/>
              <w:spacing w:line="300" w:lineRule="auto"/>
              <w:jc w:val="center"/>
              <w:rPr>
                <w:rFonts w:hint="default" w:eastAsia="宋体"/>
                <w:sz w:val="24"/>
                <w:szCs w:val="28"/>
                <w:lang w:val="en-US" w:eastAsia="zh-CN"/>
              </w:rPr>
            </w:pPr>
            <w:r>
              <w:rPr>
                <w:rFonts w:hint="eastAsia"/>
                <w:sz w:val="24"/>
                <w:szCs w:val="28"/>
                <w:lang w:val="en-US" w:eastAsia="zh-CN"/>
              </w:rPr>
              <w:t>产学研合作协议书</w:t>
            </w:r>
          </w:p>
        </w:tc>
      </w:tr>
      <w:tr w14:paraId="62E47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14:paraId="465E2B6A">
            <w:pPr>
              <w:adjustRightInd w:val="0"/>
              <w:snapToGrid w:val="0"/>
              <w:spacing w:line="300" w:lineRule="auto"/>
              <w:jc w:val="center"/>
              <w:rPr>
                <w:rFonts w:hint="default" w:eastAsia="宋体"/>
                <w:sz w:val="24"/>
                <w:szCs w:val="28"/>
                <w:lang w:val="en-US" w:eastAsia="zh-CN"/>
              </w:rPr>
            </w:pPr>
            <w:r>
              <w:rPr>
                <w:rFonts w:hint="eastAsia"/>
                <w:sz w:val="24"/>
                <w:szCs w:val="28"/>
                <w:lang w:val="en-US" w:eastAsia="zh-CN"/>
              </w:rPr>
              <w:t>10</w:t>
            </w:r>
          </w:p>
        </w:tc>
        <w:tc>
          <w:tcPr>
            <w:tcW w:w="1378" w:type="dxa"/>
            <w:shd w:val="clear" w:color="auto" w:fill="auto"/>
            <w:vAlign w:val="center"/>
          </w:tcPr>
          <w:p w14:paraId="1C84E588">
            <w:pPr>
              <w:adjustRightInd w:val="0"/>
              <w:snapToGrid w:val="0"/>
              <w:spacing w:line="300" w:lineRule="auto"/>
              <w:jc w:val="center"/>
              <w:rPr>
                <w:sz w:val="24"/>
                <w:szCs w:val="28"/>
              </w:rPr>
            </w:pPr>
          </w:p>
        </w:tc>
        <w:tc>
          <w:tcPr>
            <w:tcW w:w="3202" w:type="dxa"/>
            <w:shd w:val="clear" w:color="auto" w:fill="auto"/>
            <w:vAlign w:val="center"/>
          </w:tcPr>
          <w:p w14:paraId="632E01CF">
            <w:pPr>
              <w:adjustRightInd w:val="0"/>
              <w:snapToGrid w:val="0"/>
              <w:spacing w:line="300" w:lineRule="auto"/>
              <w:jc w:val="center"/>
              <w:rPr>
                <w:sz w:val="24"/>
                <w:szCs w:val="28"/>
              </w:rPr>
            </w:pPr>
          </w:p>
        </w:tc>
        <w:tc>
          <w:tcPr>
            <w:tcW w:w="3152" w:type="dxa"/>
            <w:shd w:val="clear" w:color="auto" w:fill="auto"/>
            <w:vAlign w:val="center"/>
          </w:tcPr>
          <w:p w14:paraId="59AC7610">
            <w:pPr>
              <w:adjustRightInd w:val="0"/>
              <w:snapToGrid w:val="0"/>
              <w:spacing w:line="300" w:lineRule="auto"/>
              <w:jc w:val="center"/>
              <w:rPr>
                <w:sz w:val="24"/>
                <w:szCs w:val="28"/>
              </w:rPr>
            </w:pPr>
          </w:p>
        </w:tc>
      </w:tr>
      <w:tr w14:paraId="12CF0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14:paraId="3CDE16B1">
            <w:pPr>
              <w:adjustRightInd w:val="0"/>
              <w:snapToGrid w:val="0"/>
              <w:spacing w:line="300" w:lineRule="auto"/>
              <w:jc w:val="center"/>
              <w:rPr>
                <w:sz w:val="24"/>
                <w:szCs w:val="28"/>
              </w:rPr>
            </w:pPr>
          </w:p>
        </w:tc>
        <w:tc>
          <w:tcPr>
            <w:tcW w:w="1378" w:type="dxa"/>
            <w:shd w:val="clear" w:color="auto" w:fill="auto"/>
            <w:vAlign w:val="center"/>
          </w:tcPr>
          <w:p w14:paraId="301B4E7C">
            <w:pPr>
              <w:adjustRightInd w:val="0"/>
              <w:snapToGrid w:val="0"/>
              <w:spacing w:line="300" w:lineRule="auto"/>
              <w:jc w:val="center"/>
              <w:rPr>
                <w:rFonts w:ascii="Times New Roman" w:hAnsi="Times New Roman" w:eastAsia="宋体" w:cs="Times New Roman"/>
                <w:kern w:val="2"/>
                <w:sz w:val="24"/>
                <w:szCs w:val="28"/>
                <w:lang w:val="en-US" w:eastAsia="zh-CN" w:bidi="ar-SA"/>
              </w:rPr>
            </w:pPr>
          </w:p>
        </w:tc>
        <w:tc>
          <w:tcPr>
            <w:tcW w:w="3202" w:type="dxa"/>
            <w:shd w:val="clear" w:color="auto" w:fill="auto"/>
            <w:vAlign w:val="center"/>
          </w:tcPr>
          <w:p w14:paraId="00F42184">
            <w:pPr>
              <w:adjustRightInd w:val="0"/>
              <w:snapToGrid w:val="0"/>
              <w:spacing w:line="300" w:lineRule="auto"/>
              <w:jc w:val="center"/>
              <w:rPr>
                <w:rFonts w:ascii="Times New Roman" w:hAnsi="Times New Roman" w:eastAsia="宋体" w:cs="Times New Roman"/>
                <w:kern w:val="2"/>
                <w:sz w:val="24"/>
                <w:szCs w:val="28"/>
                <w:lang w:val="en-US" w:eastAsia="zh-CN" w:bidi="ar-SA"/>
              </w:rPr>
            </w:pPr>
          </w:p>
        </w:tc>
        <w:tc>
          <w:tcPr>
            <w:tcW w:w="3152" w:type="dxa"/>
            <w:shd w:val="clear" w:color="auto" w:fill="auto"/>
            <w:vAlign w:val="center"/>
          </w:tcPr>
          <w:p w14:paraId="56866DC5">
            <w:pPr>
              <w:adjustRightInd w:val="0"/>
              <w:snapToGrid w:val="0"/>
              <w:spacing w:line="300" w:lineRule="auto"/>
              <w:jc w:val="center"/>
              <w:rPr>
                <w:rFonts w:ascii="Times New Roman" w:hAnsi="Times New Roman" w:eastAsia="宋体" w:cs="Times New Roman"/>
                <w:kern w:val="2"/>
                <w:sz w:val="24"/>
                <w:szCs w:val="28"/>
                <w:lang w:val="en-US" w:eastAsia="zh-CN" w:bidi="ar-SA"/>
              </w:rPr>
            </w:pPr>
          </w:p>
        </w:tc>
      </w:tr>
      <w:tr w14:paraId="0C73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14:paraId="20064869">
            <w:pPr>
              <w:adjustRightInd w:val="0"/>
              <w:snapToGrid w:val="0"/>
              <w:spacing w:line="300" w:lineRule="auto"/>
              <w:jc w:val="center"/>
              <w:rPr>
                <w:sz w:val="24"/>
                <w:szCs w:val="28"/>
              </w:rPr>
            </w:pPr>
          </w:p>
        </w:tc>
        <w:tc>
          <w:tcPr>
            <w:tcW w:w="1378" w:type="dxa"/>
            <w:shd w:val="clear" w:color="auto" w:fill="auto"/>
            <w:vAlign w:val="center"/>
          </w:tcPr>
          <w:p w14:paraId="53FC75F5">
            <w:pPr>
              <w:adjustRightInd w:val="0"/>
              <w:snapToGrid w:val="0"/>
              <w:spacing w:line="300" w:lineRule="auto"/>
              <w:jc w:val="center"/>
              <w:rPr>
                <w:rFonts w:ascii="Times New Roman" w:hAnsi="Times New Roman" w:eastAsia="宋体" w:cs="Times New Roman"/>
                <w:kern w:val="2"/>
                <w:sz w:val="24"/>
                <w:szCs w:val="28"/>
                <w:lang w:val="en-US" w:eastAsia="zh-CN" w:bidi="ar-SA"/>
              </w:rPr>
            </w:pPr>
          </w:p>
        </w:tc>
        <w:tc>
          <w:tcPr>
            <w:tcW w:w="3202" w:type="dxa"/>
            <w:shd w:val="clear" w:color="auto" w:fill="auto"/>
            <w:vAlign w:val="center"/>
          </w:tcPr>
          <w:p w14:paraId="5BE9B109">
            <w:pPr>
              <w:adjustRightInd w:val="0"/>
              <w:snapToGrid w:val="0"/>
              <w:spacing w:line="300" w:lineRule="auto"/>
              <w:jc w:val="center"/>
              <w:rPr>
                <w:rFonts w:ascii="Times New Roman" w:hAnsi="Times New Roman" w:eastAsia="宋体" w:cs="Times New Roman"/>
                <w:kern w:val="2"/>
                <w:sz w:val="24"/>
                <w:szCs w:val="28"/>
                <w:lang w:val="en-US" w:eastAsia="zh-CN" w:bidi="ar-SA"/>
              </w:rPr>
            </w:pPr>
          </w:p>
        </w:tc>
        <w:tc>
          <w:tcPr>
            <w:tcW w:w="3152" w:type="dxa"/>
            <w:shd w:val="clear" w:color="auto" w:fill="auto"/>
            <w:vAlign w:val="center"/>
          </w:tcPr>
          <w:p w14:paraId="0740AF47">
            <w:pPr>
              <w:adjustRightInd w:val="0"/>
              <w:snapToGrid w:val="0"/>
              <w:spacing w:line="300" w:lineRule="auto"/>
              <w:jc w:val="center"/>
              <w:rPr>
                <w:rFonts w:ascii="Times New Roman" w:hAnsi="Times New Roman" w:eastAsia="宋体" w:cs="Times New Roman"/>
                <w:kern w:val="2"/>
                <w:sz w:val="24"/>
                <w:szCs w:val="28"/>
                <w:lang w:val="en-US" w:eastAsia="zh-CN" w:bidi="ar-SA"/>
              </w:rPr>
            </w:pPr>
          </w:p>
        </w:tc>
      </w:tr>
      <w:tr w14:paraId="1A8A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14:paraId="605DB895">
            <w:pPr>
              <w:adjustRightInd w:val="0"/>
              <w:snapToGrid w:val="0"/>
              <w:spacing w:line="300" w:lineRule="auto"/>
              <w:jc w:val="center"/>
              <w:rPr>
                <w:sz w:val="24"/>
                <w:szCs w:val="28"/>
              </w:rPr>
            </w:pPr>
          </w:p>
        </w:tc>
        <w:tc>
          <w:tcPr>
            <w:tcW w:w="1378" w:type="dxa"/>
            <w:shd w:val="clear" w:color="auto" w:fill="auto"/>
            <w:vAlign w:val="center"/>
          </w:tcPr>
          <w:p w14:paraId="1AC25951">
            <w:pPr>
              <w:adjustRightInd w:val="0"/>
              <w:snapToGrid w:val="0"/>
              <w:spacing w:line="300" w:lineRule="auto"/>
              <w:jc w:val="center"/>
              <w:rPr>
                <w:rFonts w:ascii="Times New Roman" w:hAnsi="Times New Roman" w:eastAsia="宋体" w:cs="Times New Roman"/>
                <w:kern w:val="2"/>
                <w:sz w:val="24"/>
                <w:szCs w:val="28"/>
                <w:lang w:val="en-US" w:eastAsia="zh-CN" w:bidi="ar-SA"/>
              </w:rPr>
            </w:pPr>
          </w:p>
        </w:tc>
        <w:tc>
          <w:tcPr>
            <w:tcW w:w="3202" w:type="dxa"/>
            <w:shd w:val="clear" w:color="auto" w:fill="auto"/>
            <w:vAlign w:val="center"/>
          </w:tcPr>
          <w:p w14:paraId="42EDDEC2">
            <w:pPr>
              <w:adjustRightInd w:val="0"/>
              <w:snapToGrid w:val="0"/>
              <w:spacing w:line="300" w:lineRule="auto"/>
              <w:jc w:val="center"/>
              <w:rPr>
                <w:rFonts w:ascii="Times New Roman" w:hAnsi="Times New Roman" w:eastAsia="宋体" w:cs="Times New Roman"/>
                <w:kern w:val="2"/>
                <w:sz w:val="24"/>
                <w:szCs w:val="28"/>
                <w:lang w:val="en-US" w:eastAsia="zh-CN" w:bidi="ar-SA"/>
              </w:rPr>
            </w:pPr>
          </w:p>
        </w:tc>
        <w:tc>
          <w:tcPr>
            <w:tcW w:w="3152" w:type="dxa"/>
            <w:shd w:val="clear" w:color="auto" w:fill="auto"/>
            <w:vAlign w:val="center"/>
          </w:tcPr>
          <w:p w14:paraId="1B8A3384">
            <w:pPr>
              <w:adjustRightInd w:val="0"/>
              <w:snapToGrid w:val="0"/>
              <w:spacing w:line="300" w:lineRule="auto"/>
              <w:jc w:val="center"/>
              <w:rPr>
                <w:rFonts w:ascii="Times New Roman" w:hAnsi="Times New Roman" w:eastAsia="宋体" w:cs="Times New Roman"/>
                <w:kern w:val="2"/>
                <w:sz w:val="24"/>
                <w:szCs w:val="28"/>
                <w:lang w:val="en-US" w:eastAsia="zh-CN" w:bidi="ar-SA"/>
              </w:rPr>
            </w:pPr>
          </w:p>
        </w:tc>
      </w:tr>
      <w:tr w14:paraId="553F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shd w:val="clear" w:color="auto" w:fill="auto"/>
            <w:vAlign w:val="center"/>
          </w:tcPr>
          <w:p w14:paraId="1AD14B22">
            <w:pPr>
              <w:adjustRightInd w:val="0"/>
              <w:snapToGrid w:val="0"/>
              <w:spacing w:line="300" w:lineRule="auto"/>
              <w:jc w:val="center"/>
              <w:rPr>
                <w:sz w:val="24"/>
                <w:szCs w:val="28"/>
              </w:rPr>
            </w:pPr>
          </w:p>
        </w:tc>
        <w:tc>
          <w:tcPr>
            <w:tcW w:w="1378" w:type="dxa"/>
            <w:shd w:val="clear" w:color="auto" w:fill="auto"/>
            <w:vAlign w:val="center"/>
          </w:tcPr>
          <w:p w14:paraId="78494535">
            <w:pPr>
              <w:adjustRightInd w:val="0"/>
              <w:snapToGrid w:val="0"/>
              <w:spacing w:line="300" w:lineRule="auto"/>
              <w:jc w:val="center"/>
              <w:rPr>
                <w:rFonts w:ascii="Times New Roman" w:hAnsi="Times New Roman" w:eastAsia="宋体" w:cs="Times New Roman"/>
                <w:kern w:val="2"/>
                <w:sz w:val="24"/>
                <w:szCs w:val="28"/>
                <w:lang w:val="en-US" w:eastAsia="zh-CN" w:bidi="ar-SA"/>
              </w:rPr>
            </w:pPr>
          </w:p>
        </w:tc>
        <w:tc>
          <w:tcPr>
            <w:tcW w:w="3202" w:type="dxa"/>
            <w:shd w:val="clear" w:color="auto" w:fill="auto"/>
            <w:vAlign w:val="center"/>
          </w:tcPr>
          <w:p w14:paraId="6391B5CC">
            <w:pPr>
              <w:adjustRightInd w:val="0"/>
              <w:snapToGrid w:val="0"/>
              <w:spacing w:line="300" w:lineRule="auto"/>
              <w:jc w:val="center"/>
              <w:rPr>
                <w:rFonts w:ascii="Times New Roman" w:hAnsi="Times New Roman" w:eastAsia="宋体" w:cs="Times New Roman"/>
                <w:kern w:val="2"/>
                <w:sz w:val="24"/>
                <w:szCs w:val="28"/>
                <w:lang w:val="en-US" w:eastAsia="zh-CN" w:bidi="ar-SA"/>
              </w:rPr>
            </w:pPr>
          </w:p>
        </w:tc>
        <w:tc>
          <w:tcPr>
            <w:tcW w:w="3152" w:type="dxa"/>
            <w:shd w:val="clear" w:color="auto" w:fill="auto"/>
            <w:vAlign w:val="center"/>
          </w:tcPr>
          <w:p w14:paraId="3AB96425">
            <w:pPr>
              <w:adjustRightInd w:val="0"/>
              <w:snapToGrid w:val="0"/>
              <w:spacing w:line="300" w:lineRule="auto"/>
              <w:jc w:val="center"/>
              <w:rPr>
                <w:rFonts w:ascii="Times New Roman" w:hAnsi="Times New Roman" w:eastAsia="宋体" w:cs="Times New Roman"/>
                <w:kern w:val="2"/>
                <w:sz w:val="24"/>
                <w:szCs w:val="28"/>
                <w:lang w:val="en-US" w:eastAsia="zh-CN" w:bidi="ar-SA"/>
              </w:rPr>
            </w:pPr>
          </w:p>
        </w:tc>
      </w:tr>
      <w:bookmarkEnd w:id="0"/>
    </w:tbl>
    <w:p w14:paraId="75D8A2A9">
      <w:pPr>
        <w:adjustRightInd w:val="0"/>
        <w:snapToGrid w:val="0"/>
        <w:spacing w:line="360" w:lineRule="auto"/>
        <w:ind w:firstLine="480" w:firstLineChars="200"/>
        <w:jc w:val="left"/>
        <w:rPr>
          <w:sz w:val="24"/>
          <w:szCs w:val="28"/>
        </w:rPr>
      </w:pPr>
      <w:r>
        <w:rPr>
          <w:sz w:val="24"/>
          <w:szCs w:val="28"/>
        </w:rPr>
        <w:t>公司制定《创新激励管理制度》对技术创新进行激励，对知识产权进行统一规范管理，落实责任人对商标和专利的知识产权进行保护。</w:t>
      </w:r>
    </w:p>
    <w:p w14:paraId="62EF027E">
      <w:pPr>
        <w:adjustRightInd w:val="0"/>
        <w:snapToGrid w:val="0"/>
        <w:spacing w:line="360" w:lineRule="auto"/>
        <w:ind w:firstLine="480" w:firstLineChars="200"/>
        <w:jc w:val="left"/>
        <w:rPr>
          <w:sz w:val="24"/>
          <w:szCs w:val="28"/>
        </w:rPr>
      </w:pPr>
      <w:r>
        <w:rPr>
          <w:sz w:val="24"/>
          <w:szCs w:val="28"/>
        </w:rPr>
        <w:t>截至202</w:t>
      </w:r>
      <w:r>
        <w:rPr>
          <w:rFonts w:hint="eastAsia"/>
          <w:sz w:val="24"/>
          <w:szCs w:val="28"/>
          <w:lang w:val="en-US" w:eastAsia="zh-CN"/>
        </w:rPr>
        <w:t>4</w:t>
      </w:r>
      <w:r>
        <w:rPr>
          <w:sz w:val="24"/>
          <w:szCs w:val="28"/>
        </w:rPr>
        <w:t>.</w:t>
      </w:r>
      <w:r>
        <w:rPr>
          <w:rFonts w:hint="eastAsia"/>
          <w:sz w:val="24"/>
          <w:szCs w:val="28"/>
          <w:lang w:val="en-US" w:eastAsia="zh-CN"/>
        </w:rPr>
        <w:t>12.31</w:t>
      </w:r>
      <w:r>
        <w:rPr>
          <w:sz w:val="24"/>
          <w:szCs w:val="28"/>
        </w:rPr>
        <w:t>公司拥有授权国家专利</w:t>
      </w:r>
      <w:r>
        <w:rPr>
          <w:rFonts w:hint="eastAsia"/>
          <w:sz w:val="24"/>
          <w:szCs w:val="28"/>
          <w:lang w:val="en-US" w:eastAsia="zh-CN"/>
        </w:rPr>
        <w:t>121</w:t>
      </w:r>
      <w:r>
        <w:rPr>
          <w:sz w:val="24"/>
          <w:szCs w:val="28"/>
        </w:rPr>
        <w:t>项，其中发明专利</w:t>
      </w:r>
      <w:r>
        <w:rPr>
          <w:rFonts w:hint="eastAsia"/>
          <w:sz w:val="24"/>
          <w:szCs w:val="28"/>
          <w:lang w:val="en-US" w:eastAsia="zh-CN"/>
        </w:rPr>
        <w:t>18</w:t>
      </w:r>
      <w:r>
        <w:rPr>
          <w:sz w:val="24"/>
          <w:szCs w:val="28"/>
        </w:rPr>
        <w:t>项，实用新型专利</w:t>
      </w:r>
      <w:r>
        <w:rPr>
          <w:rFonts w:hint="eastAsia"/>
          <w:sz w:val="24"/>
          <w:szCs w:val="28"/>
          <w:lang w:val="en-US" w:eastAsia="zh-CN"/>
        </w:rPr>
        <w:t>85</w:t>
      </w:r>
      <w:r>
        <w:rPr>
          <w:sz w:val="24"/>
          <w:szCs w:val="28"/>
        </w:rPr>
        <w:t>项，外观专利</w:t>
      </w:r>
      <w:r>
        <w:rPr>
          <w:rFonts w:hint="eastAsia"/>
          <w:sz w:val="24"/>
          <w:szCs w:val="28"/>
          <w:lang w:val="en-US" w:eastAsia="zh-CN"/>
        </w:rPr>
        <w:t>18</w:t>
      </w:r>
      <w:r>
        <w:rPr>
          <w:sz w:val="24"/>
          <w:szCs w:val="28"/>
        </w:rPr>
        <w:t>项。此外，公司还有</w:t>
      </w:r>
      <w:r>
        <w:rPr>
          <w:rFonts w:hint="eastAsia"/>
          <w:sz w:val="24"/>
          <w:szCs w:val="28"/>
          <w:lang w:val="en-US" w:eastAsia="zh-CN"/>
        </w:rPr>
        <w:t>近10</w:t>
      </w:r>
      <w:r>
        <w:rPr>
          <w:sz w:val="24"/>
          <w:szCs w:val="28"/>
        </w:rPr>
        <w:t>项发明专利已进入实审阶段。</w:t>
      </w:r>
      <w:r>
        <w:rPr>
          <w:rFonts w:hint="eastAsia"/>
          <w:sz w:val="24"/>
          <w:szCs w:val="28"/>
        </w:rPr>
        <w:t>此外，公司还取得一项软件著作权。</w:t>
      </w:r>
    </w:p>
    <w:p w14:paraId="4701720A">
      <w:pPr>
        <w:adjustRightInd w:val="0"/>
        <w:snapToGrid w:val="0"/>
        <w:spacing w:line="360" w:lineRule="auto"/>
        <w:ind w:firstLine="480" w:firstLineChars="200"/>
        <w:jc w:val="left"/>
        <w:rPr>
          <w:sz w:val="24"/>
          <w:szCs w:val="28"/>
        </w:rPr>
      </w:pPr>
      <w:r>
        <w:rPr>
          <w:sz w:val="24"/>
          <w:szCs w:val="28"/>
        </w:rPr>
        <w:t>公司有3款产品被认定为省级新产品。</w:t>
      </w:r>
      <w:bookmarkStart w:id="2" w:name="_GoBack"/>
      <w:bookmarkEnd w:id="2"/>
      <w:r>
        <w:rPr>
          <w:sz w:val="24"/>
          <w:szCs w:val="28"/>
        </w:rPr>
        <w:t>公司正在参与《别墅电梯用曳引机》行业标准和《重型曳引驱动载货电梯》浙江制造品字标标准的制定。2020年，公司参与编写《南浔区电梯产业标准化与质量发展白皮书》。</w:t>
      </w:r>
    </w:p>
    <w:p w14:paraId="05FE92FD">
      <w:pPr>
        <w:rPr>
          <w:sz w:val="24"/>
          <w:szCs w:val="28"/>
        </w:rPr>
      </w:pPr>
      <w:r>
        <w:rPr>
          <w:sz w:val="24"/>
          <w:szCs w:val="28"/>
        </w:rPr>
        <w:br w:type="page"/>
      </w:r>
    </w:p>
    <w:p w14:paraId="5319C8E6">
      <w:pPr>
        <w:pStyle w:val="9"/>
        <w:rPr>
          <w:rFonts w:hint="eastAsia" w:eastAsia="宋体"/>
          <w:lang w:val="en-US" w:eastAsia="zh-CN"/>
        </w:rPr>
      </w:pPr>
    </w:p>
    <w:bookmarkEnd w:id="1"/>
    <w:p w14:paraId="62DB0D60">
      <w:pPr>
        <w:pStyle w:val="2"/>
        <w:rPr>
          <w:b w:val="0"/>
          <w:bCs/>
          <w:szCs w:val="32"/>
        </w:rPr>
      </w:pPr>
      <w:r>
        <w:t xml:space="preserve">表- </w:t>
      </w:r>
      <w:r>
        <w:fldChar w:fldCharType="begin"/>
      </w:r>
      <w:r>
        <w:instrText xml:space="preserve"> SEQ 表- \* ARABIC </w:instrText>
      </w:r>
      <w:r>
        <w:fldChar w:fldCharType="separate"/>
      </w:r>
      <w:r>
        <w:t>2</w:t>
      </w:r>
      <w:r>
        <w:fldChar w:fldCharType="end"/>
      </w:r>
      <w:r>
        <w:rPr>
          <w:rFonts w:hint="eastAsia"/>
          <w:bCs/>
          <w:szCs w:val="32"/>
        </w:rPr>
        <w:t>公司掌握的核心技术</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5367"/>
        <w:gridCol w:w="1040"/>
      </w:tblGrid>
      <w:tr w14:paraId="6269B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241" w:type="pct"/>
            <w:tcBorders>
              <w:top w:val="single" w:color="auto" w:sz="4" w:space="0"/>
              <w:left w:val="single" w:color="auto" w:sz="4" w:space="0"/>
              <w:bottom w:val="single" w:color="auto" w:sz="4" w:space="0"/>
              <w:right w:val="single" w:color="auto" w:sz="4" w:space="0"/>
            </w:tcBorders>
            <w:shd w:val="clear" w:color="auto" w:fill="183883"/>
            <w:vAlign w:val="center"/>
          </w:tcPr>
          <w:p w14:paraId="26641D0B">
            <w:pPr>
              <w:adjustRightInd w:val="0"/>
              <w:snapToGrid w:val="0"/>
              <w:spacing w:line="300" w:lineRule="auto"/>
              <w:jc w:val="center"/>
              <w:rPr>
                <w:b/>
                <w:color w:val="FFFFFF"/>
                <w:sz w:val="24"/>
              </w:rPr>
            </w:pPr>
            <w:r>
              <w:rPr>
                <w:b/>
                <w:color w:val="FFFFFF"/>
                <w:sz w:val="24"/>
              </w:rPr>
              <w:t>技术名称</w:t>
            </w:r>
          </w:p>
        </w:tc>
        <w:tc>
          <w:tcPr>
            <w:tcW w:w="3149" w:type="pct"/>
            <w:tcBorders>
              <w:top w:val="single" w:color="auto" w:sz="4" w:space="0"/>
              <w:left w:val="single" w:color="auto" w:sz="4" w:space="0"/>
              <w:bottom w:val="single" w:color="auto" w:sz="4" w:space="0"/>
              <w:right w:val="single" w:color="auto" w:sz="4" w:space="0"/>
            </w:tcBorders>
            <w:shd w:val="clear" w:color="auto" w:fill="183883"/>
            <w:vAlign w:val="center"/>
          </w:tcPr>
          <w:p w14:paraId="0BAFB1D0">
            <w:pPr>
              <w:adjustRightInd w:val="0"/>
              <w:snapToGrid w:val="0"/>
              <w:spacing w:line="300" w:lineRule="auto"/>
              <w:jc w:val="center"/>
              <w:rPr>
                <w:b/>
                <w:color w:val="FFFFFF"/>
                <w:sz w:val="24"/>
              </w:rPr>
            </w:pPr>
            <w:r>
              <w:rPr>
                <w:b/>
                <w:color w:val="FFFFFF"/>
                <w:sz w:val="24"/>
              </w:rPr>
              <w:t>主要内容</w:t>
            </w:r>
          </w:p>
        </w:tc>
        <w:tc>
          <w:tcPr>
            <w:tcW w:w="610" w:type="pct"/>
            <w:tcBorders>
              <w:top w:val="single" w:color="auto" w:sz="4" w:space="0"/>
              <w:left w:val="single" w:color="auto" w:sz="4" w:space="0"/>
              <w:bottom w:val="single" w:color="auto" w:sz="4" w:space="0"/>
              <w:right w:val="single" w:color="auto" w:sz="4" w:space="0"/>
            </w:tcBorders>
            <w:shd w:val="clear" w:color="auto" w:fill="183883"/>
          </w:tcPr>
          <w:p w14:paraId="7078104A">
            <w:pPr>
              <w:adjustRightInd w:val="0"/>
              <w:snapToGrid w:val="0"/>
              <w:spacing w:line="300" w:lineRule="auto"/>
              <w:jc w:val="center"/>
              <w:rPr>
                <w:b/>
                <w:color w:val="FFFFFF"/>
                <w:sz w:val="24"/>
              </w:rPr>
            </w:pPr>
            <w:r>
              <w:rPr>
                <w:b/>
                <w:color w:val="FFFFFF"/>
                <w:sz w:val="24"/>
              </w:rPr>
              <w:t>先进性</w:t>
            </w:r>
          </w:p>
        </w:tc>
      </w:tr>
      <w:tr w14:paraId="525DB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pct"/>
            <w:vAlign w:val="center"/>
          </w:tcPr>
          <w:p w14:paraId="75E68584">
            <w:pPr>
              <w:adjustRightInd w:val="0"/>
              <w:snapToGrid w:val="0"/>
              <w:spacing w:line="300" w:lineRule="auto"/>
              <w:jc w:val="center"/>
              <w:rPr>
                <w:sz w:val="24"/>
              </w:rPr>
            </w:pPr>
            <w:r>
              <w:rPr>
                <w:sz w:val="24"/>
              </w:rPr>
              <w:t>制动器多方面防锈改进技术</w:t>
            </w:r>
          </w:p>
        </w:tc>
        <w:tc>
          <w:tcPr>
            <w:tcW w:w="3149" w:type="pct"/>
            <w:vAlign w:val="center"/>
          </w:tcPr>
          <w:p w14:paraId="5D5B0AF1">
            <w:pPr>
              <w:adjustRightInd w:val="0"/>
              <w:snapToGrid w:val="0"/>
              <w:spacing w:line="300" w:lineRule="auto"/>
              <w:rPr>
                <w:sz w:val="24"/>
              </w:rPr>
            </w:pPr>
            <w:r>
              <w:rPr>
                <w:sz w:val="24"/>
              </w:rPr>
              <w:t>通过对装置本体多方面改进，在外表面涂有一层防锈漆，解决了抗氧化能力弱的问题，有利于装置本体的工作，提高了安全性能</w:t>
            </w:r>
          </w:p>
        </w:tc>
        <w:tc>
          <w:tcPr>
            <w:tcW w:w="610" w:type="pct"/>
            <w:vAlign w:val="center"/>
          </w:tcPr>
          <w:p w14:paraId="1E00BEB0">
            <w:pPr>
              <w:adjustRightInd w:val="0"/>
              <w:snapToGrid w:val="0"/>
              <w:spacing w:line="300" w:lineRule="auto"/>
              <w:jc w:val="center"/>
              <w:rPr>
                <w:sz w:val="24"/>
              </w:rPr>
            </w:pPr>
            <w:r>
              <w:rPr>
                <w:sz w:val="24"/>
              </w:rPr>
              <w:t>国内先进</w:t>
            </w:r>
          </w:p>
        </w:tc>
      </w:tr>
      <w:tr w14:paraId="5CD8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pct"/>
            <w:vAlign w:val="center"/>
          </w:tcPr>
          <w:p w14:paraId="1223749A">
            <w:pPr>
              <w:adjustRightInd w:val="0"/>
              <w:snapToGrid w:val="0"/>
              <w:spacing w:line="300" w:lineRule="auto"/>
              <w:jc w:val="center"/>
              <w:rPr>
                <w:sz w:val="24"/>
              </w:rPr>
            </w:pPr>
            <w:r>
              <w:rPr>
                <w:sz w:val="24"/>
              </w:rPr>
              <w:t>制动器超静音轴向压附制动技术</w:t>
            </w:r>
          </w:p>
        </w:tc>
        <w:tc>
          <w:tcPr>
            <w:tcW w:w="3149" w:type="pct"/>
            <w:vAlign w:val="center"/>
          </w:tcPr>
          <w:p w14:paraId="438712B2">
            <w:pPr>
              <w:adjustRightInd w:val="0"/>
              <w:snapToGrid w:val="0"/>
              <w:spacing w:line="300" w:lineRule="auto"/>
              <w:rPr>
                <w:sz w:val="24"/>
              </w:rPr>
            </w:pPr>
            <w:r>
              <w:rPr>
                <w:sz w:val="24"/>
              </w:rPr>
              <w:t>转轴通过制动器磁轭通电与否通过电磁力驱动衔铁轴向对环形刹车片和刹车盘压附，刹车盘固套于转轴对应端，使外转子曳引机通过轴刹进行制动，使整个曳引机制动结构简单可靠、制动噪音小。</w:t>
            </w:r>
          </w:p>
        </w:tc>
        <w:tc>
          <w:tcPr>
            <w:tcW w:w="610" w:type="pct"/>
            <w:vAlign w:val="center"/>
          </w:tcPr>
          <w:p w14:paraId="58514CF3">
            <w:pPr>
              <w:adjustRightInd w:val="0"/>
              <w:snapToGrid w:val="0"/>
              <w:spacing w:line="300" w:lineRule="auto"/>
              <w:jc w:val="center"/>
              <w:rPr>
                <w:sz w:val="24"/>
              </w:rPr>
            </w:pPr>
            <w:r>
              <w:rPr>
                <w:sz w:val="24"/>
              </w:rPr>
              <w:t>国内先进</w:t>
            </w:r>
          </w:p>
        </w:tc>
      </w:tr>
      <w:tr w14:paraId="7DC1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pct"/>
            <w:vAlign w:val="center"/>
          </w:tcPr>
          <w:p w14:paraId="3BD7A4C4">
            <w:pPr>
              <w:adjustRightInd w:val="0"/>
              <w:snapToGrid w:val="0"/>
              <w:spacing w:line="300" w:lineRule="auto"/>
              <w:jc w:val="center"/>
              <w:rPr>
                <w:sz w:val="24"/>
              </w:rPr>
            </w:pPr>
            <w:r>
              <w:rPr>
                <w:sz w:val="24"/>
              </w:rPr>
              <w:t>免维护创新技术</w:t>
            </w:r>
          </w:p>
        </w:tc>
        <w:tc>
          <w:tcPr>
            <w:tcW w:w="3149" w:type="pct"/>
            <w:vAlign w:val="center"/>
          </w:tcPr>
          <w:p w14:paraId="06E0B908">
            <w:pPr>
              <w:adjustRightInd w:val="0"/>
              <w:snapToGrid w:val="0"/>
              <w:spacing w:line="300" w:lineRule="auto"/>
              <w:rPr>
                <w:sz w:val="24"/>
              </w:rPr>
            </w:pPr>
            <w:r>
              <w:rPr>
                <w:sz w:val="24"/>
              </w:rPr>
              <w:t>通过摩擦盘的使用，减少了装置本体的日常摩擦，提高了装置本体的使用寿命，无需调整维护，具有广阔的应用市场。</w:t>
            </w:r>
          </w:p>
        </w:tc>
        <w:tc>
          <w:tcPr>
            <w:tcW w:w="610" w:type="pct"/>
            <w:vAlign w:val="center"/>
          </w:tcPr>
          <w:p w14:paraId="20651653">
            <w:pPr>
              <w:adjustRightInd w:val="0"/>
              <w:snapToGrid w:val="0"/>
              <w:spacing w:line="300" w:lineRule="auto"/>
              <w:jc w:val="center"/>
              <w:rPr>
                <w:b/>
                <w:sz w:val="24"/>
              </w:rPr>
            </w:pPr>
            <w:r>
              <w:rPr>
                <w:sz w:val="24"/>
              </w:rPr>
              <w:t>国内先进</w:t>
            </w:r>
          </w:p>
        </w:tc>
      </w:tr>
      <w:tr w14:paraId="1D9D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pct"/>
            <w:vAlign w:val="center"/>
          </w:tcPr>
          <w:p w14:paraId="25BA143E">
            <w:pPr>
              <w:adjustRightInd w:val="0"/>
              <w:snapToGrid w:val="0"/>
              <w:spacing w:line="300" w:lineRule="auto"/>
              <w:jc w:val="center"/>
              <w:rPr>
                <w:sz w:val="24"/>
                <w:szCs w:val="28"/>
              </w:rPr>
            </w:pPr>
            <w:r>
              <w:rPr>
                <w:b/>
                <w:bCs/>
                <w:sz w:val="24"/>
                <w:szCs w:val="28"/>
              </w:rPr>
              <w:t>超高载重货梯技术</w:t>
            </w:r>
          </w:p>
        </w:tc>
        <w:tc>
          <w:tcPr>
            <w:tcW w:w="3149" w:type="pct"/>
            <w:vAlign w:val="center"/>
          </w:tcPr>
          <w:p w14:paraId="32C466AB">
            <w:pPr>
              <w:adjustRightInd w:val="0"/>
              <w:snapToGrid w:val="0"/>
              <w:spacing w:line="300" w:lineRule="auto"/>
              <w:rPr>
                <w:sz w:val="24"/>
              </w:rPr>
            </w:pPr>
            <w:r>
              <w:rPr>
                <w:sz w:val="24"/>
              </w:rPr>
              <w:t>额定载重不小于3000kg，适用于轿厢面积相对较大，载重相对较大，主机轴载和功率要求较高的货物运输。</w:t>
            </w:r>
          </w:p>
        </w:tc>
        <w:tc>
          <w:tcPr>
            <w:tcW w:w="610" w:type="pct"/>
          </w:tcPr>
          <w:p w14:paraId="0D4F3D2D">
            <w:pPr>
              <w:adjustRightInd w:val="0"/>
              <w:snapToGrid w:val="0"/>
              <w:spacing w:line="300" w:lineRule="auto"/>
              <w:jc w:val="center"/>
              <w:rPr>
                <w:sz w:val="24"/>
              </w:rPr>
            </w:pPr>
            <w:r>
              <w:rPr>
                <w:sz w:val="24"/>
              </w:rPr>
              <w:t>国际先进</w:t>
            </w:r>
          </w:p>
        </w:tc>
      </w:tr>
      <w:tr w14:paraId="34DB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pct"/>
            <w:vAlign w:val="center"/>
          </w:tcPr>
          <w:p w14:paraId="5BBF5840">
            <w:pPr>
              <w:adjustRightInd w:val="0"/>
              <w:snapToGrid w:val="0"/>
              <w:spacing w:line="300" w:lineRule="auto"/>
              <w:jc w:val="center"/>
              <w:rPr>
                <w:b/>
                <w:bCs/>
                <w:sz w:val="24"/>
                <w:szCs w:val="28"/>
              </w:rPr>
            </w:pPr>
            <w:r>
              <w:rPr>
                <w:b/>
                <w:bCs/>
                <w:sz w:val="24"/>
                <w:szCs w:val="28"/>
              </w:rPr>
              <w:t>分布式绕阻技术</w:t>
            </w:r>
          </w:p>
        </w:tc>
        <w:tc>
          <w:tcPr>
            <w:tcW w:w="3149" w:type="pct"/>
            <w:vAlign w:val="center"/>
          </w:tcPr>
          <w:p w14:paraId="6C11394F">
            <w:pPr>
              <w:adjustRightInd w:val="0"/>
              <w:snapToGrid w:val="0"/>
              <w:spacing w:line="300" w:lineRule="auto"/>
              <w:rPr>
                <w:sz w:val="24"/>
              </w:rPr>
            </w:pPr>
            <w:r>
              <w:rPr>
                <w:sz w:val="24"/>
              </w:rPr>
              <w:t>通过创新设计，采用分布式绕阻技术，实现电机的高稳定性以及高节能性。公司两款电机被工信部评为“能效之星”。</w:t>
            </w:r>
          </w:p>
        </w:tc>
        <w:tc>
          <w:tcPr>
            <w:tcW w:w="610" w:type="pct"/>
          </w:tcPr>
          <w:p w14:paraId="7F8C9275">
            <w:pPr>
              <w:adjustRightInd w:val="0"/>
              <w:snapToGrid w:val="0"/>
              <w:spacing w:line="300" w:lineRule="auto"/>
              <w:jc w:val="center"/>
              <w:rPr>
                <w:sz w:val="24"/>
              </w:rPr>
            </w:pPr>
            <w:r>
              <w:rPr>
                <w:sz w:val="24"/>
              </w:rPr>
              <w:t>国内领先</w:t>
            </w:r>
          </w:p>
        </w:tc>
      </w:tr>
    </w:tbl>
    <w:p w14:paraId="07217AC0">
      <w:pPr>
        <w:rPr>
          <w:rFonts w:ascii="黑体" w:hAnsi="黑体" w:eastAsia="黑体" w:cs="黑体"/>
          <w:b/>
          <w:sz w:val="32"/>
          <w:szCs w:val="32"/>
          <w:lang w:bidi="ar"/>
        </w:rPr>
      </w:pPr>
    </w:p>
    <w:p w14:paraId="6B710D75">
      <w:pPr>
        <w:rPr>
          <w:rFonts w:ascii="仿宋_GB2312" w:hAnsi="仿宋_GB2312" w:eastAsia="仿宋_GB2312" w:cs="仿宋_GB2312"/>
          <w:b/>
          <w:sz w:val="32"/>
          <w:szCs w:val="32"/>
        </w:rPr>
      </w:pPr>
      <w:r>
        <w:rPr>
          <w:rFonts w:hint="eastAsia" w:ascii="黑体" w:hAnsi="黑体" w:eastAsia="黑体" w:cs="黑体"/>
          <w:b/>
          <w:sz w:val="32"/>
          <w:szCs w:val="32"/>
          <w:lang w:bidi="ar"/>
        </w:rPr>
        <w:t>三、社会为要，做负责任的和谐生态构建者</w:t>
      </w:r>
      <w:r>
        <w:rPr>
          <w:rFonts w:hint="eastAsia" w:ascii="仿宋_GB2312" w:hAnsi="仿宋_GB2312" w:eastAsia="仿宋_GB2312" w:cs="仿宋_GB2312"/>
          <w:b/>
          <w:sz w:val="32"/>
          <w:szCs w:val="32"/>
          <w:lang w:bidi="ar"/>
        </w:rPr>
        <w:t xml:space="preserve"> </w:t>
      </w:r>
    </w:p>
    <w:p w14:paraId="3052E58E">
      <w:pPr>
        <w:widowControl/>
        <w:shd w:val="clear" w:color="auto" w:fill="FFFFFF"/>
        <w:spacing w:line="360" w:lineRule="auto"/>
        <w:ind w:firstLine="480" w:firstLineChars="200"/>
        <w:jc w:val="left"/>
        <w:rPr>
          <w:rFonts w:ascii="宋体" w:hAnsi="宋体" w:cs="宋体"/>
          <w:kern w:val="0"/>
          <w:sz w:val="24"/>
        </w:rPr>
      </w:pPr>
      <w:r>
        <w:rPr>
          <w:rFonts w:hint="eastAsia" w:ascii="宋体" w:hAnsi="宋体" w:cs="宋体"/>
          <w:kern w:val="0"/>
          <w:sz w:val="24"/>
        </w:rPr>
        <w:t>弗尔德自成立以来一直秉承“得诸社会、还诸社会”理念，积极履行企业社会责任，以更具社会责任感的组织行为增强其竞争优势，致力于成为卓越的企业公民。</w:t>
      </w:r>
    </w:p>
    <w:p w14:paraId="3DC7CA12">
      <w:pPr>
        <w:spacing w:line="360" w:lineRule="auto"/>
        <w:ind w:firstLine="463" w:firstLineChars="193"/>
        <w:jc w:val="left"/>
        <w:rPr>
          <w:kern w:val="0"/>
          <w:sz w:val="24"/>
        </w:rPr>
      </w:pPr>
      <w:r>
        <w:rPr>
          <w:kern w:val="0"/>
          <w:sz w:val="24"/>
        </w:rPr>
        <w:t>公司的产品、服务和运营过程主要涉及产品安全、环境保护、能源消耗、综合利用、安全生产等方面的公共责任。其中，产品安全方面主要有曳引机、制动器引起的电、扶梯故障；环境保护方面主要有废气、废液、固体废弃物、危险化学品、噪音等；能源消耗方面主要有水、电、油等；安全生产方面主要有电炉、压装设备、重物吊装、职业病等。针对这些社会影响，公司采取了有效的改进措施。</w:t>
      </w:r>
    </w:p>
    <w:p w14:paraId="4DE5ECE7">
      <w:pPr>
        <w:spacing w:line="360" w:lineRule="auto"/>
        <w:ind w:firstLine="463" w:firstLineChars="193"/>
        <w:jc w:val="left"/>
        <w:rPr>
          <w:rStyle w:val="36"/>
          <w:rFonts w:hint="default" w:ascii="Times New Roman" w:hAnsi="Times New Roman"/>
          <w:sz w:val="24"/>
          <w:szCs w:val="24"/>
        </w:rPr>
      </w:pPr>
      <w:r>
        <w:rPr>
          <w:rStyle w:val="36"/>
          <w:rFonts w:hint="default" w:ascii="Times New Roman" w:hAnsi="Times New Roman"/>
          <w:sz w:val="24"/>
          <w:szCs w:val="24"/>
        </w:rPr>
        <w:t>公司一直关注使基础设施符合环境和职业健康环境、安全管理的要求，严格执行“三同时”，即同时设计、同时施工、同时交付使用的原则。在设计、制作、购买设备过程中，积极考虑设备的安全性、环保性、舒适性。委托有资质的检测与评价单位展开工作场所职业危害因素检测。根据检测报告的检测数据识别出需要改进的环节和需要更新的个人劳动防护用品，及时处置因基础设施引起的环境和职业健康安全问题。公司配备了先进的污水处理设备，由第三方检验机构对废气、废水进行定期检测，所有生产污水和生活污水均已实现达标排放，危险废弃物由符合资质的公司进行转运处置，实现了危废处理的动态跟踪。此外，公司利用屋顶进行太阳能发电。</w:t>
      </w:r>
    </w:p>
    <w:p w14:paraId="107E0D1E">
      <w:pPr>
        <w:spacing w:line="360" w:lineRule="auto"/>
        <w:jc w:val="left"/>
        <w:rPr>
          <w:kern w:val="0"/>
          <w:sz w:val="24"/>
        </w:rPr>
      </w:pPr>
      <w:r>
        <w:rPr>
          <w:kern w:val="0"/>
          <w:sz w:val="24"/>
        </w:rPr>
        <w:drawing>
          <wp:inline distT="0" distB="0" distL="114300" distR="114300">
            <wp:extent cx="5257800" cy="1960245"/>
            <wp:effectExtent l="0" t="0" r="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5257800" cy="1960245"/>
                    </a:xfrm>
                    <a:prstGeom prst="rect">
                      <a:avLst/>
                    </a:prstGeom>
                    <a:noFill/>
                    <a:ln>
                      <a:noFill/>
                    </a:ln>
                  </pic:spPr>
                </pic:pic>
              </a:graphicData>
            </a:graphic>
          </wp:inline>
        </w:drawing>
      </w:r>
    </w:p>
    <w:p w14:paraId="674A893A">
      <w:pPr>
        <w:pStyle w:val="2"/>
        <w:rPr>
          <w:rFonts w:ascii="Times New Roman" w:hAnsi="Times New Roman"/>
          <w:kern w:val="0"/>
          <w:szCs w:val="24"/>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5</w:t>
      </w:r>
      <w:r>
        <w:fldChar w:fldCharType="end"/>
      </w:r>
      <w:r>
        <w:rPr>
          <w:rFonts w:ascii="Times New Roman" w:hAnsi="Times New Roman"/>
          <w:kern w:val="0"/>
          <w:szCs w:val="24"/>
        </w:rPr>
        <w:t>公司在厂房顶建设太阳能</w:t>
      </w:r>
    </w:p>
    <w:p w14:paraId="5CCD76E2">
      <w:pPr>
        <w:adjustRightInd w:val="0"/>
        <w:snapToGrid w:val="0"/>
        <w:spacing w:line="360" w:lineRule="auto"/>
        <w:ind w:firstLine="420"/>
        <w:jc w:val="left"/>
        <w:rPr>
          <w:kern w:val="0"/>
          <w:sz w:val="24"/>
        </w:rPr>
      </w:pPr>
      <w:r>
        <w:rPr>
          <w:kern w:val="0"/>
          <w:sz w:val="24"/>
        </w:rPr>
        <w:t>“得诸社会、还诸社会”是公司所在地南浔商人数百年来形成的经商传统和儒商精神。公司成立以来积极履行社会责任，做好企业公民。公司发挥建设和谐社会中的促进作用，有效保障利益相关方权益，持续提升员工满意度，积极支持以</w:t>
      </w:r>
      <w:r>
        <w:rPr>
          <w:rFonts w:hint="eastAsia"/>
          <w:kern w:val="0"/>
          <w:sz w:val="24"/>
        </w:rPr>
        <w:t>“</w:t>
      </w:r>
      <w:r>
        <w:rPr>
          <w:rFonts w:hint="eastAsia"/>
          <w:b/>
          <w:bCs/>
          <w:kern w:val="0"/>
          <w:sz w:val="24"/>
        </w:rPr>
        <w:t>教育事业、扶贫帮困</w:t>
      </w:r>
      <w:r>
        <w:rPr>
          <w:rFonts w:hint="eastAsia"/>
          <w:kern w:val="0"/>
          <w:sz w:val="24"/>
        </w:rPr>
        <w:t>”</w:t>
      </w:r>
      <w:r>
        <w:rPr>
          <w:kern w:val="0"/>
          <w:sz w:val="24"/>
        </w:rPr>
        <w:t>等为主要载体的社会公益事业，全面践行“社会贡献最大化”核心价值理念。通过领导者的卓越管理，让企业干部、员工体会到自身价值的存在感，获得物质和精神上的成功；通过全体员工的努力，让我们的客户、供应商体验到我们产品的品牌价值、企业的平台价值，获得合作和体验上的成功；通过企业、员工和客户三方的协同创新，让企业保持健康持续发展，不断为社会创造责任价值和经济价值，让社会各界感到满意，地方政府感到成就，人民生活感到便利，进而让全社会体会到成功！</w:t>
      </w:r>
    </w:p>
    <w:p w14:paraId="32A30A9B">
      <w:pPr>
        <w:pStyle w:val="9"/>
        <w:spacing w:before="0" w:beforeAutospacing="0" w:after="0" w:afterAutospacing="0"/>
        <w:ind w:left="0" w:leftChars="0" w:firstLine="0"/>
      </w:pPr>
      <w:r>
        <w:drawing>
          <wp:inline distT="0" distB="0" distL="0" distR="0">
            <wp:extent cx="5270500" cy="229489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92525" cy="2304523"/>
                    </a:xfrm>
                    <a:prstGeom prst="rect">
                      <a:avLst/>
                    </a:prstGeom>
                    <a:noFill/>
                  </pic:spPr>
                </pic:pic>
              </a:graphicData>
            </a:graphic>
          </wp:inline>
        </w:drawing>
      </w:r>
    </w:p>
    <w:p w14:paraId="17C075BD">
      <w:pPr>
        <w:pStyle w:val="2"/>
        <w:rPr>
          <w:rFonts w:hint="eastAsia"/>
        </w:rPr>
      </w:pPr>
      <w:r>
        <w:t xml:space="preserve">图- </w:t>
      </w:r>
      <w:r>
        <w:fldChar w:fldCharType="begin"/>
      </w:r>
      <w:r>
        <w:instrText xml:space="preserve"> SEQ 图- \* ARABIC </w:instrText>
      </w:r>
      <w:r>
        <w:fldChar w:fldCharType="separate"/>
      </w:r>
      <w:r>
        <w:t>6</w:t>
      </w:r>
      <w:r>
        <w:fldChar w:fldCharType="end"/>
      </w:r>
      <w:r>
        <w:rPr>
          <w:rFonts w:hint="eastAsia"/>
        </w:rPr>
        <w:t>公司组织的献血活动</w:t>
      </w:r>
    </w:p>
    <w:p w14:paraId="3BFFFC82">
      <w:pPr>
        <w:pStyle w:val="2"/>
        <w:rPr>
          <w:rFonts w:hint="eastAsia"/>
          <w:b w:val="0"/>
          <w:bCs/>
          <w:szCs w:val="32"/>
        </w:rPr>
      </w:pPr>
      <w:r>
        <w:t xml:space="preserve">表- </w:t>
      </w:r>
      <w:r>
        <w:fldChar w:fldCharType="begin"/>
      </w:r>
      <w:r>
        <w:instrText xml:space="preserve"> SEQ 表- \* ARABIC </w:instrText>
      </w:r>
      <w:r>
        <w:fldChar w:fldCharType="separate"/>
      </w:r>
      <w:r>
        <w:t>3</w:t>
      </w:r>
      <w:r>
        <w:fldChar w:fldCharType="end"/>
      </w:r>
      <w:r>
        <w:rPr>
          <w:rFonts w:hint="eastAsia"/>
          <w:b w:val="0"/>
          <w:bCs/>
          <w:szCs w:val="32"/>
        </w:rPr>
        <w:t>近年来公益捐助情况</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5032"/>
        <w:gridCol w:w="1909"/>
      </w:tblGrid>
      <w:tr w14:paraId="673AC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81" w:type="dxa"/>
            <w:tcBorders>
              <w:top w:val="single" w:color="auto" w:sz="4" w:space="0"/>
              <w:left w:val="single" w:color="auto" w:sz="4" w:space="0"/>
              <w:bottom w:val="single" w:color="auto" w:sz="4" w:space="0"/>
              <w:right w:val="single" w:color="auto" w:sz="4" w:space="0"/>
            </w:tcBorders>
            <w:shd w:val="clear" w:color="auto" w:fill="183883"/>
            <w:vAlign w:val="center"/>
          </w:tcPr>
          <w:p w14:paraId="4AFC1078">
            <w:pPr>
              <w:adjustRightInd w:val="0"/>
              <w:snapToGrid w:val="0"/>
              <w:spacing w:line="300" w:lineRule="auto"/>
              <w:jc w:val="center"/>
              <w:rPr>
                <w:b/>
                <w:kern w:val="0"/>
                <w:sz w:val="24"/>
              </w:rPr>
            </w:pPr>
            <w:r>
              <w:rPr>
                <w:rFonts w:hint="eastAsia"/>
                <w:b/>
                <w:kern w:val="0"/>
                <w:sz w:val="24"/>
              </w:rPr>
              <w:t>重点领域</w:t>
            </w:r>
          </w:p>
        </w:tc>
        <w:tc>
          <w:tcPr>
            <w:tcW w:w="5032" w:type="dxa"/>
            <w:tcBorders>
              <w:top w:val="single" w:color="auto" w:sz="4" w:space="0"/>
              <w:left w:val="single" w:color="auto" w:sz="4" w:space="0"/>
              <w:bottom w:val="single" w:color="auto" w:sz="4" w:space="0"/>
              <w:right w:val="single" w:color="auto" w:sz="4" w:space="0"/>
            </w:tcBorders>
            <w:shd w:val="clear" w:color="auto" w:fill="183883"/>
            <w:vAlign w:val="center"/>
          </w:tcPr>
          <w:p w14:paraId="67154745">
            <w:pPr>
              <w:adjustRightInd w:val="0"/>
              <w:snapToGrid w:val="0"/>
              <w:spacing w:line="300" w:lineRule="auto"/>
              <w:jc w:val="center"/>
              <w:rPr>
                <w:b/>
                <w:kern w:val="0"/>
                <w:sz w:val="24"/>
              </w:rPr>
            </w:pPr>
            <w:r>
              <w:rPr>
                <w:rFonts w:hint="eastAsia"/>
                <w:b/>
                <w:kern w:val="0"/>
                <w:sz w:val="24"/>
              </w:rPr>
              <w:t>具体事项</w:t>
            </w:r>
          </w:p>
        </w:tc>
        <w:tc>
          <w:tcPr>
            <w:tcW w:w="1909" w:type="dxa"/>
            <w:tcBorders>
              <w:top w:val="single" w:color="auto" w:sz="4" w:space="0"/>
              <w:left w:val="single" w:color="auto" w:sz="4" w:space="0"/>
              <w:bottom w:val="single" w:color="auto" w:sz="4" w:space="0"/>
              <w:right w:val="single" w:color="auto" w:sz="4" w:space="0"/>
            </w:tcBorders>
            <w:shd w:val="clear" w:color="auto" w:fill="183883"/>
            <w:vAlign w:val="center"/>
          </w:tcPr>
          <w:p w14:paraId="51B628D0">
            <w:pPr>
              <w:adjustRightInd w:val="0"/>
              <w:snapToGrid w:val="0"/>
              <w:spacing w:line="300" w:lineRule="auto"/>
              <w:jc w:val="center"/>
              <w:rPr>
                <w:b/>
                <w:kern w:val="0"/>
                <w:sz w:val="24"/>
              </w:rPr>
            </w:pPr>
            <w:r>
              <w:rPr>
                <w:rFonts w:hint="eastAsia"/>
                <w:b/>
                <w:kern w:val="0"/>
                <w:sz w:val="24"/>
              </w:rPr>
              <w:t>投入金额（元）</w:t>
            </w:r>
          </w:p>
        </w:tc>
      </w:tr>
      <w:tr w14:paraId="380A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81" w:type="dxa"/>
            <w:vMerge w:val="restart"/>
            <w:tcBorders>
              <w:top w:val="single" w:color="auto" w:sz="4" w:space="0"/>
              <w:left w:val="single" w:color="auto" w:sz="4" w:space="0"/>
              <w:right w:val="single" w:color="auto" w:sz="4" w:space="0"/>
            </w:tcBorders>
            <w:shd w:val="clear" w:color="auto" w:fill="auto"/>
            <w:vAlign w:val="center"/>
          </w:tcPr>
          <w:p w14:paraId="452FCADC">
            <w:pPr>
              <w:jc w:val="center"/>
              <w:rPr>
                <w:rFonts w:hint="eastAsia"/>
              </w:rPr>
            </w:pPr>
            <w:r>
              <w:rPr>
                <w:rFonts w:ascii="Times New Roman" w:hAnsi="Times New Roman"/>
                <w:color w:val="auto"/>
              </w:rPr>
              <w:t>扶贫帮困</w:t>
            </w:r>
          </w:p>
        </w:tc>
        <w:tc>
          <w:tcPr>
            <w:tcW w:w="5032" w:type="dxa"/>
            <w:tcBorders>
              <w:top w:val="single" w:color="auto" w:sz="4" w:space="0"/>
              <w:left w:val="single" w:color="auto" w:sz="4" w:space="0"/>
              <w:bottom w:val="single" w:color="auto" w:sz="4" w:space="0"/>
              <w:right w:val="single" w:color="auto" w:sz="4" w:space="0"/>
            </w:tcBorders>
            <w:shd w:val="clear" w:color="auto" w:fill="auto"/>
            <w:vAlign w:val="center"/>
          </w:tcPr>
          <w:p w14:paraId="499D128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olor w:val="auto"/>
                <w:lang w:val="en-US" w:eastAsia="zh-CN"/>
              </w:rPr>
              <w:t>2021.9.30慈善捐款</w:t>
            </w:r>
          </w:p>
        </w:tc>
        <w:tc>
          <w:tcPr>
            <w:tcW w:w="1909" w:type="dxa"/>
            <w:tcBorders>
              <w:top w:val="single" w:color="auto" w:sz="4" w:space="0"/>
              <w:left w:val="single" w:color="auto" w:sz="4" w:space="0"/>
              <w:bottom w:val="single" w:color="auto" w:sz="4" w:space="0"/>
              <w:right w:val="single" w:color="auto" w:sz="4" w:space="0"/>
            </w:tcBorders>
            <w:shd w:val="clear" w:color="auto" w:fill="auto"/>
            <w:vAlign w:val="center"/>
          </w:tcPr>
          <w:p w14:paraId="58807CC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olor w:val="auto"/>
                <w:lang w:val="en-US" w:eastAsia="zh-CN"/>
              </w:rPr>
              <w:t>100000</w:t>
            </w:r>
          </w:p>
        </w:tc>
      </w:tr>
      <w:tr w14:paraId="27677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81" w:type="dxa"/>
            <w:vMerge w:val="continue"/>
            <w:tcBorders>
              <w:left w:val="single" w:color="auto" w:sz="4" w:space="0"/>
              <w:right w:val="single" w:color="auto" w:sz="4" w:space="0"/>
            </w:tcBorders>
            <w:shd w:val="clear" w:color="auto" w:fill="auto"/>
            <w:vAlign w:val="center"/>
          </w:tcPr>
          <w:p w14:paraId="6ABEE2E3">
            <w:pPr>
              <w:rPr>
                <w:rFonts w:hint="eastAsia"/>
              </w:rPr>
            </w:pPr>
          </w:p>
        </w:tc>
        <w:tc>
          <w:tcPr>
            <w:tcW w:w="5032" w:type="dxa"/>
            <w:tcBorders>
              <w:top w:val="single" w:color="auto" w:sz="4" w:space="0"/>
              <w:left w:val="single" w:color="auto" w:sz="4" w:space="0"/>
              <w:bottom w:val="single" w:color="auto" w:sz="4" w:space="0"/>
              <w:right w:val="single" w:color="auto" w:sz="4" w:space="0"/>
            </w:tcBorders>
            <w:shd w:val="clear" w:color="auto" w:fill="auto"/>
            <w:vAlign w:val="center"/>
          </w:tcPr>
          <w:p w14:paraId="11D54FE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olor w:val="auto"/>
                <w:lang w:val="en-US" w:eastAsia="zh-CN"/>
              </w:rPr>
              <w:t>2022.10.24湖州市南浔区慈善捐款</w:t>
            </w:r>
          </w:p>
        </w:tc>
        <w:tc>
          <w:tcPr>
            <w:tcW w:w="1909" w:type="dxa"/>
            <w:tcBorders>
              <w:top w:val="single" w:color="auto" w:sz="4" w:space="0"/>
              <w:left w:val="single" w:color="auto" w:sz="4" w:space="0"/>
              <w:bottom w:val="single" w:color="auto" w:sz="4" w:space="0"/>
              <w:right w:val="single" w:color="auto" w:sz="4" w:space="0"/>
            </w:tcBorders>
            <w:shd w:val="clear" w:color="auto" w:fill="auto"/>
            <w:vAlign w:val="center"/>
          </w:tcPr>
          <w:p w14:paraId="5BCBDEE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olor w:val="auto"/>
                <w:lang w:val="en-US" w:eastAsia="zh-CN"/>
              </w:rPr>
              <w:t>80000</w:t>
            </w:r>
          </w:p>
        </w:tc>
      </w:tr>
      <w:tr w14:paraId="5423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81" w:type="dxa"/>
            <w:vMerge w:val="continue"/>
            <w:tcBorders>
              <w:left w:val="single" w:color="auto" w:sz="4" w:space="0"/>
              <w:bottom w:val="single" w:color="auto" w:sz="4" w:space="0"/>
              <w:right w:val="single" w:color="auto" w:sz="4" w:space="0"/>
            </w:tcBorders>
            <w:shd w:val="clear" w:color="auto" w:fill="auto"/>
            <w:vAlign w:val="center"/>
          </w:tcPr>
          <w:p w14:paraId="28285CFD">
            <w:pPr>
              <w:rPr>
                <w:rFonts w:hint="eastAsia"/>
              </w:rPr>
            </w:pPr>
          </w:p>
        </w:tc>
        <w:tc>
          <w:tcPr>
            <w:tcW w:w="5032" w:type="dxa"/>
            <w:tcBorders>
              <w:top w:val="single" w:color="auto" w:sz="4" w:space="0"/>
              <w:left w:val="single" w:color="auto" w:sz="4" w:space="0"/>
              <w:bottom w:val="single" w:color="auto" w:sz="4" w:space="0"/>
              <w:right w:val="single" w:color="auto" w:sz="4" w:space="0"/>
            </w:tcBorders>
            <w:shd w:val="clear" w:color="auto" w:fill="auto"/>
            <w:vAlign w:val="center"/>
          </w:tcPr>
          <w:p w14:paraId="1EA0E20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olor w:val="auto"/>
                <w:lang w:val="en-US" w:eastAsia="zh-CN"/>
              </w:rPr>
              <w:t>2023.9.25南浔区慈善捐款</w:t>
            </w:r>
          </w:p>
        </w:tc>
        <w:tc>
          <w:tcPr>
            <w:tcW w:w="1909" w:type="dxa"/>
            <w:tcBorders>
              <w:top w:val="single" w:color="auto" w:sz="4" w:space="0"/>
              <w:left w:val="single" w:color="auto" w:sz="4" w:space="0"/>
              <w:bottom w:val="single" w:color="auto" w:sz="4" w:space="0"/>
              <w:right w:val="single" w:color="auto" w:sz="4" w:space="0"/>
            </w:tcBorders>
            <w:shd w:val="clear" w:color="auto" w:fill="auto"/>
            <w:vAlign w:val="center"/>
          </w:tcPr>
          <w:p w14:paraId="2E3134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olor w:val="auto"/>
                <w:lang w:val="en-US" w:eastAsia="zh-CN"/>
              </w:rPr>
              <w:t>500000</w:t>
            </w:r>
          </w:p>
        </w:tc>
      </w:tr>
      <w:tr w14:paraId="610A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blHeader/>
        </w:trPr>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14:paraId="230CA550">
            <w:pPr>
              <w:rPr>
                <w:rFonts w:hint="eastAsia"/>
              </w:rPr>
            </w:pPr>
          </w:p>
        </w:tc>
        <w:tc>
          <w:tcPr>
            <w:tcW w:w="5032" w:type="dxa"/>
            <w:tcBorders>
              <w:top w:val="single" w:color="auto" w:sz="4" w:space="0"/>
              <w:left w:val="single" w:color="auto" w:sz="4" w:space="0"/>
              <w:bottom w:val="single" w:color="auto" w:sz="4" w:space="0"/>
              <w:right w:val="single" w:color="auto" w:sz="4" w:space="0"/>
            </w:tcBorders>
            <w:shd w:val="clear" w:color="auto" w:fill="auto"/>
            <w:vAlign w:val="center"/>
          </w:tcPr>
          <w:p w14:paraId="425E6614">
            <w:pPr>
              <w:rPr>
                <w:rFonts w:hint="eastAsia"/>
              </w:rPr>
            </w:pPr>
          </w:p>
        </w:tc>
        <w:tc>
          <w:tcPr>
            <w:tcW w:w="1909" w:type="dxa"/>
            <w:tcBorders>
              <w:top w:val="single" w:color="auto" w:sz="4" w:space="0"/>
              <w:left w:val="single" w:color="auto" w:sz="4" w:space="0"/>
              <w:bottom w:val="single" w:color="auto" w:sz="4" w:space="0"/>
              <w:right w:val="single" w:color="auto" w:sz="4" w:space="0"/>
            </w:tcBorders>
            <w:shd w:val="clear" w:color="auto" w:fill="auto"/>
            <w:vAlign w:val="center"/>
          </w:tcPr>
          <w:p w14:paraId="1BF07069">
            <w:pPr>
              <w:rPr>
                <w:rFonts w:hint="eastAsia"/>
              </w:rPr>
            </w:pPr>
          </w:p>
        </w:tc>
      </w:tr>
    </w:tbl>
    <w:p w14:paraId="6309F2EB">
      <w:pPr>
        <w:pStyle w:val="9"/>
        <w:spacing w:after="100"/>
        <w:ind w:left="0" w:leftChars="0" w:firstLine="0"/>
        <w:rPr>
          <w:rFonts w:hint="eastAsia"/>
        </w:rPr>
      </w:pPr>
      <w:r>
        <w:rPr>
          <w:rFonts w:hint="eastAsia" w:ascii="黑体" w:hAnsi="黑体" w:eastAsia="黑体" w:cs="黑体"/>
          <w:b/>
          <w:kern w:val="2"/>
          <w:sz w:val="32"/>
          <w:szCs w:val="32"/>
          <w:lang w:bidi="ar"/>
        </w:rPr>
        <w:t>四、以人为本，做有温度的员工关爱实践者</w:t>
      </w:r>
    </w:p>
    <w:p w14:paraId="0D514240">
      <w:pPr>
        <w:adjustRightInd w:val="0"/>
        <w:snapToGrid w:val="0"/>
        <w:spacing w:line="300" w:lineRule="auto"/>
        <w:ind w:firstLine="480" w:firstLineChars="200"/>
        <w:rPr>
          <w:kern w:val="0"/>
          <w:sz w:val="24"/>
        </w:rPr>
      </w:pPr>
      <w:r>
        <w:rPr>
          <w:rFonts w:hint="eastAsia"/>
          <w:kern w:val="0"/>
          <w:sz w:val="24"/>
        </w:rPr>
        <w:t>公司制定《职业健康安全运行控制程序》《安全事故应急预案》《危险源辨识、风险评价与控制程序》等程序文件；同时，定期对关键工作场所的影响因和职业病危害种类等素进行识别、测量和控制，确保员工的职业健康安全。</w:t>
      </w:r>
    </w:p>
    <w:p w14:paraId="72E8F222">
      <w:pPr>
        <w:adjustRightInd w:val="0"/>
        <w:snapToGrid w:val="0"/>
        <w:spacing w:line="300" w:lineRule="auto"/>
        <w:ind w:firstLine="480" w:firstLineChars="200"/>
        <w:rPr>
          <w:kern w:val="0"/>
          <w:sz w:val="24"/>
        </w:rPr>
      </w:pPr>
      <w:r>
        <w:rPr>
          <w:rFonts w:hint="eastAsia"/>
          <w:kern w:val="0"/>
          <w:sz w:val="24"/>
        </w:rPr>
        <w:t>公司制定《职业病预防管理制度》。人事行政部每年对员工职业病有害因素进行监测，调整职业病工种体检范围，建立员工职业健康监护档案，对从事特殊工种的员工配备相应的劳保用品和营养补贴。同时，在生产现场对特殊工种遵照安全标杆张贴安全标识，在产生严重职业病危害因素的作业岗位在其醒目处设置</w:t>
      </w:r>
      <w:r>
        <w:rPr>
          <w:kern w:val="0"/>
          <w:sz w:val="24"/>
        </w:rPr>
        <w:t>“</w:t>
      </w:r>
      <w:r>
        <w:rPr>
          <w:rFonts w:hint="eastAsia"/>
          <w:kern w:val="0"/>
          <w:sz w:val="24"/>
        </w:rPr>
        <w:t>作业岗位职业病危害告知卡</w:t>
      </w:r>
      <w:r>
        <w:rPr>
          <w:kern w:val="0"/>
          <w:sz w:val="24"/>
        </w:rPr>
        <w:t>”</w:t>
      </w:r>
      <w:r>
        <w:rPr>
          <w:rFonts w:hint="eastAsia"/>
          <w:kern w:val="0"/>
          <w:sz w:val="24"/>
        </w:rPr>
        <w:t>等警示标识和警示说明，告知产生有害因素的种类、后果、预防及应急救治措施等内容。</w:t>
      </w:r>
    </w:p>
    <w:p w14:paraId="33DEFD68">
      <w:pPr>
        <w:pStyle w:val="9"/>
        <w:spacing w:before="0" w:beforeAutospacing="0" w:after="0" w:afterAutospacing="0"/>
        <w:ind w:left="0" w:leftChars="0" w:firstLine="0"/>
      </w:pPr>
      <w:r>
        <w:drawing>
          <wp:inline distT="0" distB="0" distL="0" distR="0">
            <wp:extent cx="5168900" cy="1953260"/>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180491" cy="1958130"/>
                    </a:xfrm>
                    <a:prstGeom prst="rect">
                      <a:avLst/>
                    </a:prstGeom>
                    <a:noFill/>
                  </pic:spPr>
                </pic:pic>
              </a:graphicData>
            </a:graphic>
          </wp:inline>
        </w:drawing>
      </w:r>
    </w:p>
    <w:p w14:paraId="72A6C83D">
      <w:pPr>
        <w:pStyle w:val="2"/>
        <w:rPr>
          <w:rFonts w:hint="eastAsia"/>
        </w:rPr>
      </w:pPr>
      <w:r>
        <w:t xml:space="preserve">图- </w:t>
      </w:r>
      <w:r>
        <w:fldChar w:fldCharType="begin"/>
      </w:r>
      <w:r>
        <w:instrText xml:space="preserve"> SEQ 图- \* ARABIC </w:instrText>
      </w:r>
      <w:r>
        <w:fldChar w:fldCharType="separate"/>
      </w:r>
      <w:r>
        <w:t>7</w:t>
      </w:r>
      <w:r>
        <w:fldChar w:fldCharType="end"/>
      </w:r>
      <w:r>
        <w:rPr>
          <w:rFonts w:hint="eastAsia"/>
        </w:rPr>
        <w:t>员工福利设施</w:t>
      </w:r>
    </w:p>
    <w:p w14:paraId="46AEDED4">
      <w:pPr>
        <w:adjustRightInd w:val="0"/>
        <w:snapToGrid w:val="0"/>
        <w:spacing w:line="300" w:lineRule="auto"/>
        <w:ind w:firstLine="480" w:firstLineChars="200"/>
        <w:rPr>
          <w:kern w:val="0"/>
          <w:sz w:val="24"/>
        </w:rPr>
      </w:pPr>
      <w:r>
        <w:rPr>
          <w:rFonts w:hint="eastAsia"/>
          <w:kern w:val="0"/>
          <w:sz w:val="24"/>
        </w:rPr>
        <w:t>公司制定《应急准备和响应控制程序》，确定潜在的环境、职业健康安全事故或紧急情况，做出应急准备和响应，预防或减少可能伴随产生的环境影响及职业健康安全的不良后果，以确保安全生产和稳定生产，并创造最好效益。公司每年定期组织应急演练，切实树立起安全意识。</w:t>
      </w:r>
    </w:p>
    <w:p w14:paraId="0EB539C8">
      <w:pPr>
        <w:adjustRightInd w:val="0"/>
        <w:snapToGrid w:val="0"/>
        <w:spacing w:line="300" w:lineRule="auto"/>
        <w:ind w:firstLine="480" w:firstLineChars="200"/>
        <w:rPr>
          <w:kern w:val="0"/>
          <w:sz w:val="24"/>
        </w:rPr>
      </w:pPr>
      <w:r>
        <w:rPr>
          <w:rFonts w:hint="eastAsia"/>
          <w:kern w:val="0"/>
          <w:sz w:val="24"/>
        </w:rPr>
        <w:t>公司成立工会组织保障员工的权益。针对困难员工，工会建立关爱仅仅，不断健全困难职工档案，且每年在特殊情况及年终时对困难家庭职工（包括退休职工）进行补助，帮助申请外部的困难补助金；针对外来员工，提供免费宿舍或买租房补助，并帮助安排其子女在当地就学。同时，公司还积极开展其他关爱活动，如：协助员工购买春节返乡火车票，并给予报销；为员工在生日当月送上蛋糕券和祝福；节假日发放慰问品等。</w:t>
      </w:r>
    </w:p>
    <w:p w14:paraId="0731D282">
      <w:pPr>
        <w:pStyle w:val="9"/>
        <w:spacing w:before="0" w:beforeAutospacing="0" w:after="0" w:afterAutospacing="0"/>
        <w:ind w:left="0" w:leftChars="0" w:firstLine="0"/>
      </w:pPr>
      <w:r>
        <w:drawing>
          <wp:inline distT="0" distB="0" distL="0" distR="0">
            <wp:extent cx="5264150" cy="22536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83692" cy="2262107"/>
                    </a:xfrm>
                    <a:prstGeom prst="rect">
                      <a:avLst/>
                    </a:prstGeom>
                    <a:noFill/>
                  </pic:spPr>
                </pic:pic>
              </a:graphicData>
            </a:graphic>
          </wp:inline>
        </w:drawing>
      </w:r>
    </w:p>
    <w:p w14:paraId="4F78CA82">
      <w:pPr>
        <w:pStyle w:val="2"/>
      </w:pPr>
      <w:r>
        <w:t xml:space="preserve">图- </w:t>
      </w:r>
      <w:r>
        <w:fldChar w:fldCharType="begin"/>
      </w:r>
      <w:r>
        <w:instrText xml:space="preserve"> SEQ 图- \* ARABIC </w:instrText>
      </w:r>
      <w:r>
        <w:fldChar w:fldCharType="separate"/>
      </w:r>
      <w:r>
        <w:t>8</w:t>
      </w:r>
      <w:r>
        <w:fldChar w:fldCharType="end"/>
      </w:r>
      <w:r>
        <w:rPr>
          <w:rFonts w:hint="eastAsia"/>
        </w:rPr>
        <w:t>员工体检</w:t>
      </w:r>
    </w:p>
    <w:p w14:paraId="4B3B82FF">
      <w:r>
        <w:drawing>
          <wp:inline distT="0" distB="0" distL="0" distR="0">
            <wp:extent cx="5346065" cy="2774315"/>
            <wp:effectExtent l="0" t="0" r="63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356361" cy="2780054"/>
                    </a:xfrm>
                    <a:prstGeom prst="rect">
                      <a:avLst/>
                    </a:prstGeom>
                    <a:noFill/>
                  </pic:spPr>
                </pic:pic>
              </a:graphicData>
            </a:graphic>
          </wp:inline>
        </w:drawing>
      </w:r>
    </w:p>
    <w:p w14:paraId="0AF5D009">
      <w:pPr>
        <w:pStyle w:val="2"/>
        <w:rPr>
          <w:rFonts w:hint="eastAsia"/>
        </w:rPr>
      </w:pPr>
      <w:r>
        <w:t xml:space="preserve">图- </w:t>
      </w:r>
      <w:r>
        <w:fldChar w:fldCharType="begin"/>
      </w:r>
      <w:r>
        <w:instrText xml:space="preserve"> SEQ 图- \* ARABIC </w:instrText>
      </w:r>
      <w:r>
        <w:fldChar w:fldCharType="separate"/>
      </w:r>
      <w:r>
        <w:t>9</w:t>
      </w:r>
      <w:r>
        <w:fldChar w:fldCharType="end"/>
      </w:r>
      <w:r>
        <w:rPr>
          <w:rFonts w:hint="eastAsia"/>
        </w:rPr>
        <w:t>节假日福利</w:t>
      </w:r>
    </w:p>
    <w:p w14:paraId="3B9ECD9D">
      <w:pPr>
        <w:adjustRightInd w:val="0"/>
        <w:snapToGrid w:val="0"/>
        <w:spacing w:line="300" w:lineRule="auto"/>
        <w:ind w:firstLine="420"/>
        <w:rPr>
          <w:kern w:val="0"/>
          <w:sz w:val="24"/>
        </w:rPr>
      </w:pPr>
      <w:r>
        <w:rPr>
          <w:rFonts w:hint="eastAsia"/>
          <w:kern w:val="0"/>
          <w:sz w:val="24"/>
        </w:rPr>
        <w:t>公司十分重视员工的业余文化生活，经常性的开展丰富多彩的文化娱乐活动，如年会、晚会、文化体育节、三八节活动、党员活动、篮球赛、乒乓球赛等，在员工娱乐的同时，充分展示员工才艺、增进了解和交流。</w:t>
      </w:r>
    </w:p>
    <w:p w14:paraId="6BD91A30">
      <w:pPr>
        <w:pStyle w:val="9"/>
        <w:spacing w:before="0" w:beforeAutospacing="0" w:after="0" w:afterAutospacing="0"/>
        <w:ind w:left="0" w:leftChars="0" w:firstLine="0"/>
      </w:pPr>
      <w:r>
        <w:drawing>
          <wp:inline distT="0" distB="0" distL="0" distR="0">
            <wp:extent cx="5257800" cy="23387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3310" cy="2346218"/>
                    </a:xfrm>
                    <a:prstGeom prst="rect">
                      <a:avLst/>
                    </a:prstGeom>
                    <a:noFill/>
                  </pic:spPr>
                </pic:pic>
              </a:graphicData>
            </a:graphic>
          </wp:inline>
        </w:drawing>
      </w:r>
    </w:p>
    <w:p w14:paraId="1D0A742B">
      <w:pPr>
        <w:pStyle w:val="2"/>
        <w:rPr>
          <w:rFonts w:hint="eastAsia"/>
        </w:rPr>
      </w:pPr>
      <w:r>
        <w:t xml:space="preserve">图- </w:t>
      </w:r>
      <w:r>
        <w:fldChar w:fldCharType="begin"/>
      </w:r>
      <w:r>
        <w:instrText xml:space="preserve"> SEQ 图- \* ARABIC </w:instrText>
      </w:r>
      <w:r>
        <w:fldChar w:fldCharType="separate"/>
      </w:r>
      <w:r>
        <w:t>10</w:t>
      </w:r>
      <w:r>
        <w:fldChar w:fldCharType="end"/>
      </w:r>
      <w:r>
        <w:rPr>
          <w:rFonts w:hint="eastAsia"/>
        </w:rPr>
        <w:t>丰富的员工活动</w:t>
      </w:r>
    </w:p>
    <w:p w14:paraId="700DD5AA">
      <w:pPr>
        <w:adjustRightInd w:val="0"/>
        <w:snapToGrid w:val="0"/>
        <w:spacing w:line="300" w:lineRule="auto"/>
        <w:ind w:firstLine="480" w:firstLineChars="200"/>
        <w:rPr>
          <w:kern w:val="0"/>
          <w:sz w:val="24"/>
        </w:rPr>
      </w:pPr>
      <w:r>
        <w:rPr>
          <w:rFonts w:hint="eastAsia"/>
          <w:kern w:val="0"/>
          <w:sz w:val="24"/>
        </w:rPr>
        <w:t>此外，公司制定《提案改善管理办法》《合理化建议管理办法》等制度文件，鼓励员工为公司的发展出谋划策。对于持续改进和管理创新成果均给予一定奖励，视改进建议的影响程度给予从几百元到几十万元不等的物质奖励。</w:t>
      </w:r>
    </w:p>
    <w:p w14:paraId="0FD68A36">
      <w:pPr>
        <w:adjustRightInd w:val="0"/>
        <w:snapToGrid w:val="0"/>
        <w:spacing w:line="300" w:lineRule="auto"/>
        <w:ind w:firstLine="480" w:firstLineChars="200"/>
        <w:rPr>
          <w:rFonts w:hint="eastAsia"/>
        </w:rPr>
      </w:pPr>
      <w:r>
        <w:rPr>
          <w:rFonts w:hint="eastAsia"/>
          <w:kern w:val="0"/>
          <w:sz w:val="24"/>
        </w:rPr>
        <w:t>公司通过</w:t>
      </w:r>
      <w:r>
        <w:rPr>
          <w:kern w:val="0"/>
          <w:sz w:val="24"/>
        </w:rPr>
        <w:t>“</w:t>
      </w:r>
      <w:r>
        <w:rPr>
          <w:rFonts w:hint="eastAsia"/>
          <w:kern w:val="0"/>
          <w:sz w:val="24"/>
        </w:rPr>
        <w:t>总经理信箱</w:t>
      </w:r>
      <w:r>
        <w:rPr>
          <w:kern w:val="0"/>
          <w:sz w:val="24"/>
        </w:rPr>
        <w:t>”</w:t>
      </w:r>
      <w:r>
        <w:rPr>
          <w:rFonts w:hint="eastAsia"/>
          <w:kern w:val="0"/>
          <w:sz w:val="24"/>
        </w:rPr>
        <w:t>、</w:t>
      </w:r>
      <w:r>
        <w:rPr>
          <w:kern w:val="0"/>
          <w:sz w:val="24"/>
        </w:rPr>
        <w:t>“</w:t>
      </w:r>
      <w:r>
        <w:rPr>
          <w:rFonts w:hint="eastAsia"/>
          <w:kern w:val="0"/>
          <w:sz w:val="24"/>
        </w:rPr>
        <w:t>座谈会</w:t>
      </w:r>
      <w:r>
        <w:rPr>
          <w:kern w:val="0"/>
          <w:sz w:val="24"/>
        </w:rPr>
        <w:t>”</w:t>
      </w:r>
      <w:r>
        <w:rPr>
          <w:rFonts w:hint="eastAsia"/>
          <w:kern w:val="0"/>
          <w:sz w:val="24"/>
        </w:rPr>
        <w:t>、</w:t>
      </w:r>
      <w:r>
        <w:rPr>
          <w:kern w:val="0"/>
          <w:sz w:val="24"/>
        </w:rPr>
        <w:t>“</w:t>
      </w:r>
      <w:r>
        <w:rPr>
          <w:rFonts w:hint="eastAsia"/>
          <w:kern w:val="0"/>
          <w:sz w:val="24"/>
        </w:rPr>
        <w:t>工会走访</w:t>
      </w:r>
      <w:r>
        <w:rPr>
          <w:kern w:val="0"/>
          <w:sz w:val="24"/>
        </w:rPr>
        <w:t>”</w:t>
      </w:r>
      <w:r>
        <w:rPr>
          <w:rFonts w:hint="eastAsia"/>
          <w:kern w:val="0"/>
          <w:sz w:val="24"/>
        </w:rPr>
        <w:t>、</w:t>
      </w:r>
      <w:r>
        <w:rPr>
          <w:kern w:val="0"/>
          <w:sz w:val="24"/>
        </w:rPr>
        <w:t>“</w:t>
      </w:r>
      <w:r>
        <w:rPr>
          <w:rFonts w:hint="eastAsia"/>
          <w:kern w:val="0"/>
          <w:sz w:val="24"/>
        </w:rPr>
        <w:t>合理化建议活动</w:t>
      </w:r>
      <w:r>
        <w:rPr>
          <w:kern w:val="0"/>
          <w:sz w:val="24"/>
        </w:rPr>
        <w:t>”</w:t>
      </w:r>
      <w:r>
        <w:rPr>
          <w:rFonts w:hint="eastAsia"/>
          <w:kern w:val="0"/>
          <w:sz w:val="24"/>
        </w:rPr>
        <w:t>、</w:t>
      </w:r>
      <w:r>
        <w:rPr>
          <w:kern w:val="0"/>
          <w:sz w:val="24"/>
        </w:rPr>
        <w:t>“</w:t>
      </w:r>
      <w:r>
        <w:rPr>
          <w:rFonts w:hint="eastAsia"/>
          <w:kern w:val="0"/>
          <w:sz w:val="24"/>
        </w:rPr>
        <w:t>文娱体育比赛活动</w:t>
      </w:r>
      <w:r>
        <w:rPr>
          <w:kern w:val="0"/>
          <w:sz w:val="24"/>
        </w:rPr>
        <w:t>”</w:t>
      </w:r>
      <w:r>
        <w:rPr>
          <w:rFonts w:hint="eastAsia"/>
          <w:kern w:val="0"/>
          <w:sz w:val="24"/>
        </w:rPr>
        <w:t>、</w:t>
      </w:r>
      <w:r>
        <w:rPr>
          <w:kern w:val="0"/>
          <w:sz w:val="24"/>
        </w:rPr>
        <w:t>“</w:t>
      </w:r>
      <w:r>
        <w:rPr>
          <w:rFonts w:hint="eastAsia"/>
          <w:kern w:val="0"/>
          <w:sz w:val="24"/>
        </w:rPr>
        <w:t>座谈会</w:t>
      </w:r>
      <w:r>
        <w:rPr>
          <w:kern w:val="0"/>
          <w:sz w:val="24"/>
        </w:rPr>
        <w:t>”</w:t>
      </w:r>
      <w:r>
        <w:rPr>
          <w:rFonts w:hint="eastAsia"/>
          <w:kern w:val="0"/>
          <w:sz w:val="24"/>
        </w:rPr>
        <w:t>、</w:t>
      </w:r>
      <w:r>
        <w:rPr>
          <w:kern w:val="0"/>
          <w:sz w:val="24"/>
        </w:rPr>
        <w:t>“</w:t>
      </w:r>
      <w:r>
        <w:rPr>
          <w:rFonts w:hint="eastAsia"/>
          <w:kern w:val="0"/>
          <w:sz w:val="24"/>
        </w:rPr>
        <w:t>专题调查</w:t>
      </w:r>
      <w:r>
        <w:rPr>
          <w:kern w:val="0"/>
          <w:sz w:val="24"/>
        </w:rPr>
        <w:t>”</w:t>
      </w:r>
      <w:r>
        <w:rPr>
          <w:rFonts w:hint="eastAsia"/>
          <w:kern w:val="0"/>
          <w:sz w:val="24"/>
        </w:rPr>
        <w:t>、</w:t>
      </w:r>
      <w:r>
        <w:rPr>
          <w:kern w:val="0"/>
          <w:sz w:val="24"/>
        </w:rPr>
        <w:t>“</w:t>
      </w:r>
      <w:r>
        <w:rPr>
          <w:rFonts w:hint="eastAsia"/>
          <w:kern w:val="0"/>
          <w:sz w:val="24"/>
        </w:rPr>
        <w:t>专题会议</w:t>
      </w:r>
      <w:r>
        <w:rPr>
          <w:kern w:val="0"/>
          <w:sz w:val="24"/>
        </w:rPr>
        <w:t>”</w:t>
      </w:r>
      <w:r>
        <w:rPr>
          <w:rFonts w:hint="eastAsia"/>
          <w:kern w:val="0"/>
          <w:sz w:val="24"/>
        </w:rPr>
        <w:t>、</w:t>
      </w:r>
      <w:r>
        <w:rPr>
          <w:kern w:val="0"/>
          <w:sz w:val="24"/>
        </w:rPr>
        <w:t>“</w:t>
      </w:r>
      <w:r>
        <w:rPr>
          <w:rFonts w:hint="eastAsia"/>
          <w:kern w:val="0"/>
          <w:sz w:val="24"/>
        </w:rPr>
        <w:t>早会</w:t>
      </w:r>
      <w:r>
        <w:rPr>
          <w:kern w:val="0"/>
          <w:sz w:val="24"/>
        </w:rPr>
        <w:t>”</w:t>
      </w:r>
      <w:r>
        <w:rPr>
          <w:rFonts w:hint="eastAsia"/>
          <w:kern w:val="0"/>
          <w:sz w:val="24"/>
        </w:rPr>
        <w:t>等形式，关注员工工作、生活、学习等方面的实际问题，强调在相互尊重、相互理解的基础上，公司与员工间、部门与部门间、上司与下属间、员工与员工之间进行坦诚、开放、直接的沟通。</w:t>
      </w:r>
    </w:p>
    <w:p w14:paraId="25FBCEB4">
      <w:pPr>
        <w:pStyle w:val="9"/>
        <w:spacing w:before="0" w:beforeAutospacing="0" w:after="0" w:afterAutospacing="0"/>
        <w:ind w:left="0" w:leftChars="0" w:firstLine="0"/>
        <w:rPr>
          <w:rFonts w:hint="eastAsia"/>
        </w:rPr>
      </w:pPr>
    </w:p>
    <w:p w14:paraId="70F2B58C">
      <w:pPr>
        <w:pStyle w:val="9"/>
        <w:spacing w:before="0" w:beforeAutospacing="0" w:after="0" w:afterAutospacing="0"/>
        <w:ind w:left="0" w:leftChars="0" w:firstLine="0"/>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altName w:val="黑体"/>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715853"/>
      <w:docPartObj>
        <w:docPartGallery w:val="autotext"/>
      </w:docPartObj>
    </w:sdtPr>
    <w:sdtContent>
      <w:p w14:paraId="16CFB1FF">
        <w:pPr>
          <w:pStyle w:val="6"/>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791D44"/>
    <w:multiLevelType w:val="singleLevel"/>
    <w:tmpl w:val="B6791D44"/>
    <w:lvl w:ilvl="0" w:tentative="0">
      <w:start w:val="2"/>
      <w:numFmt w:val="chineseCounting"/>
      <w:suff w:val="nothing"/>
      <w:lvlText w:val="（%1）"/>
      <w:lvlJc w:val="left"/>
      <w:rPr>
        <w:rFonts w:hint="eastAsia"/>
      </w:rPr>
    </w:lvl>
  </w:abstractNum>
  <w:abstractNum w:abstractNumId="1">
    <w:nsid w:val="096767EE"/>
    <w:multiLevelType w:val="singleLevel"/>
    <w:tmpl w:val="096767EE"/>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4NGE5YTNiNzViMGFkMzhjMDY5YzczOTZlYmM5ZjIifQ=="/>
  </w:docVars>
  <w:rsids>
    <w:rsidRoot w:val="11A360A2"/>
    <w:rsid w:val="001202C3"/>
    <w:rsid w:val="00140952"/>
    <w:rsid w:val="001644B7"/>
    <w:rsid w:val="001F4AF6"/>
    <w:rsid w:val="0022181C"/>
    <w:rsid w:val="006B65CD"/>
    <w:rsid w:val="006D2D36"/>
    <w:rsid w:val="008338F0"/>
    <w:rsid w:val="008727AA"/>
    <w:rsid w:val="00944A58"/>
    <w:rsid w:val="00AF03F6"/>
    <w:rsid w:val="00C35BE0"/>
    <w:rsid w:val="00C440C7"/>
    <w:rsid w:val="011C44BE"/>
    <w:rsid w:val="01BD0EBD"/>
    <w:rsid w:val="03764359"/>
    <w:rsid w:val="06E31D05"/>
    <w:rsid w:val="06F85238"/>
    <w:rsid w:val="0A334D52"/>
    <w:rsid w:val="0AD32091"/>
    <w:rsid w:val="0B884C29"/>
    <w:rsid w:val="0BDA5265"/>
    <w:rsid w:val="0EAA3109"/>
    <w:rsid w:val="11A360A2"/>
    <w:rsid w:val="11E335B5"/>
    <w:rsid w:val="19BE3F0C"/>
    <w:rsid w:val="1B4413FF"/>
    <w:rsid w:val="1C146065"/>
    <w:rsid w:val="1D3040BB"/>
    <w:rsid w:val="1FB038CC"/>
    <w:rsid w:val="200C7514"/>
    <w:rsid w:val="220B1CB9"/>
    <w:rsid w:val="24BC36CF"/>
    <w:rsid w:val="28E868B0"/>
    <w:rsid w:val="2B204A27"/>
    <w:rsid w:val="2BE07669"/>
    <w:rsid w:val="30AE6631"/>
    <w:rsid w:val="32CF3B3B"/>
    <w:rsid w:val="334F5D5E"/>
    <w:rsid w:val="3491429F"/>
    <w:rsid w:val="359B6AF0"/>
    <w:rsid w:val="37182EAB"/>
    <w:rsid w:val="3AAA114C"/>
    <w:rsid w:val="3AF47012"/>
    <w:rsid w:val="3CF2666F"/>
    <w:rsid w:val="3F9D61EE"/>
    <w:rsid w:val="40563002"/>
    <w:rsid w:val="418F600A"/>
    <w:rsid w:val="44B738AE"/>
    <w:rsid w:val="44CD30D2"/>
    <w:rsid w:val="458B7DE8"/>
    <w:rsid w:val="45CC3389"/>
    <w:rsid w:val="46274A64"/>
    <w:rsid w:val="46A459C4"/>
    <w:rsid w:val="48A405ED"/>
    <w:rsid w:val="4DDD4C92"/>
    <w:rsid w:val="4E7740AE"/>
    <w:rsid w:val="50744D49"/>
    <w:rsid w:val="52AC306D"/>
    <w:rsid w:val="54EC75A4"/>
    <w:rsid w:val="55F6600D"/>
    <w:rsid w:val="5A3317D1"/>
    <w:rsid w:val="5A871B1D"/>
    <w:rsid w:val="5C5F68AD"/>
    <w:rsid w:val="5D872A54"/>
    <w:rsid w:val="5DE7105B"/>
    <w:rsid w:val="5E2205CA"/>
    <w:rsid w:val="5F4104EC"/>
    <w:rsid w:val="600F6368"/>
    <w:rsid w:val="640F6E0B"/>
    <w:rsid w:val="64246DE9"/>
    <w:rsid w:val="677671A1"/>
    <w:rsid w:val="67D24551"/>
    <w:rsid w:val="67EC4CC0"/>
    <w:rsid w:val="6DA84268"/>
    <w:rsid w:val="6EF54B48"/>
    <w:rsid w:val="703D23EB"/>
    <w:rsid w:val="736A4624"/>
    <w:rsid w:val="73E627A4"/>
    <w:rsid w:val="770F0CB0"/>
    <w:rsid w:val="777675D8"/>
    <w:rsid w:val="780B5D19"/>
    <w:rsid w:val="7AD95625"/>
    <w:rsid w:val="7BDD1145"/>
    <w:rsid w:val="7C935FBD"/>
    <w:rsid w:val="7D293105"/>
    <w:rsid w:val="7F390D88"/>
    <w:rsid w:val="7FB14E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qFormat/>
    <w:uiPriority w:val="35"/>
    <w:pPr>
      <w:jc w:val="center"/>
    </w:pPr>
    <w:rPr>
      <w:rFonts w:ascii="Cambria" w:hAnsi="Cambria"/>
      <w:b/>
      <w:sz w:val="24"/>
      <w:szCs w:val="20"/>
    </w:rPr>
  </w:style>
  <w:style w:type="paragraph" w:styleId="3">
    <w:name w:val="Body Text"/>
    <w:basedOn w:val="1"/>
    <w:qFormat/>
    <w:uiPriority w:val="1"/>
    <w:rPr>
      <w:rFonts w:ascii="仿宋_GB2312" w:hAnsi="仿宋_GB2312" w:eastAsia="仿宋_GB2312" w:cs="仿宋_GB2312"/>
      <w:sz w:val="32"/>
      <w:szCs w:val="32"/>
    </w:rPr>
  </w:style>
  <w:style w:type="paragraph" w:styleId="4">
    <w:name w:val="Body Text Indent"/>
    <w:basedOn w:val="1"/>
    <w:autoRedefine/>
    <w:qFormat/>
    <w:uiPriority w:val="0"/>
    <w:pPr>
      <w:widowControl/>
      <w:spacing w:before="100" w:beforeAutospacing="1" w:after="100" w:afterAutospacing="1"/>
      <w:jc w:val="left"/>
    </w:pPr>
    <w:rPr>
      <w:rFonts w:ascii="宋体" w:hAnsi="宋体"/>
      <w:kern w:val="0"/>
      <w:sz w:val="24"/>
    </w:rPr>
  </w:style>
  <w:style w:type="paragraph" w:styleId="5">
    <w:name w:val="Date"/>
    <w:basedOn w:val="1"/>
    <w:next w:val="1"/>
    <w:link w:val="37"/>
    <w:uiPriority w:val="0"/>
    <w:pPr>
      <w:ind w:left="100" w:leftChars="2500"/>
    </w:pPr>
  </w:style>
  <w:style w:type="paragraph" w:styleId="6">
    <w:name w:val="footer"/>
    <w:basedOn w:val="1"/>
    <w:link w:val="38"/>
    <w:uiPriority w:val="99"/>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uiPriority w:val="0"/>
    <w:pPr>
      <w:jc w:val="left"/>
    </w:pPr>
    <w:rPr>
      <w:kern w:val="0"/>
      <w:sz w:val="24"/>
    </w:rPr>
  </w:style>
  <w:style w:type="paragraph" w:styleId="9">
    <w:name w:val="Body Text First Indent 2"/>
    <w:basedOn w:val="4"/>
    <w:qFormat/>
    <w:uiPriority w:val="0"/>
    <w:pPr>
      <w:spacing w:after="120"/>
      <w:ind w:left="420" w:leftChars="200" w:firstLine="420"/>
    </w:pPr>
    <w:rPr>
      <w:sz w:val="21"/>
    </w:rPr>
  </w:style>
  <w:style w:type="character" w:styleId="12">
    <w:name w:val="Strong"/>
    <w:basedOn w:val="11"/>
    <w:autoRedefine/>
    <w:qFormat/>
    <w:uiPriority w:val="0"/>
    <w:rPr>
      <w:b/>
    </w:rPr>
  </w:style>
  <w:style w:type="character" w:styleId="13">
    <w:name w:val="FollowedHyperlink"/>
    <w:basedOn w:val="11"/>
    <w:qFormat/>
    <w:uiPriority w:val="0"/>
    <w:rPr>
      <w:color w:val="004276"/>
      <w:u w:val="none"/>
    </w:rPr>
  </w:style>
  <w:style w:type="character" w:styleId="14">
    <w:name w:val="Emphasis"/>
    <w:basedOn w:val="11"/>
    <w:autoRedefine/>
    <w:qFormat/>
    <w:uiPriority w:val="0"/>
  </w:style>
  <w:style w:type="character" w:styleId="15">
    <w:name w:val="HTML Definition"/>
    <w:basedOn w:val="11"/>
    <w:qFormat/>
    <w:uiPriority w:val="0"/>
  </w:style>
  <w:style w:type="character" w:styleId="16">
    <w:name w:val="HTML Variable"/>
    <w:basedOn w:val="11"/>
    <w:qFormat/>
    <w:uiPriority w:val="0"/>
  </w:style>
  <w:style w:type="character" w:styleId="17">
    <w:name w:val="Hyperlink"/>
    <w:basedOn w:val="11"/>
    <w:autoRedefine/>
    <w:qFormat/>
    <w:uiPriority w:val="0"/>
    <w:rPr>
      <w:color w:val="004276"/>
      <w:u w:val="none"/>
    </w:rPr>
  </w:style>
  <w:style w:type="character" w:styleId="18">
    <w:name w:val="HTML Code"/>
    <w:basedOn w:val="11"/>
    <w:autoRedefine/>
    <w:qFormat/>
    <w:uiPriority w:val="0"/>
    <w:rPr>
      <w:rFonts w:hint="default" w:ascii="serif" w:hAnsi="serif" w:eastAsia="serif" w:cs="serif"/>
      <w:sz w:val="21"/>
      <w:szCs w:val="21"/>
    </w:rPr>
  </w:style>
  <w:style w:type="character" w:styleId="19">
    <w:name w:val="HTML Cite"/>
    <w:basedOn w:val="11"/>
    <w:qFormat/>
    <w:uiPriority w:val="0"/>
  </w:style>
  <w:style w:type="character" w:styleId="20">
    <w:name w:val="HTML Keyboard"/>
    <w:basedOn w:val="11"/>
    <w:qFormat/>
    <w:uiPriority w:val="0"/>
    <w:rPr>
      <w:rFonts w:hint="default" w:ascii="serif" w:hAnsi="serif" w:eastAsia="serif" w:cs="serif"/>
      <w:sz w:val="21"/>
      <w:szCs w:val="21"/>
    </w:rPr>
  </w:style>
  <w:style w:type="character" w:styleId="21">
    <w:name w:val="HTML Sample"/>
    <w:basedOn w:val="11"/>
    <w:qFormat/>
    <w:uiPriority w:val="0"/>
    <w:rPr>
      <w:rFonts w:ascii="serif" w:hAnsi="serif" w:eastAsia="serif" w:cs="serif"/>
      <w:sz w:val="21"/>
      <w:szCs w:val="21"/>
    </w:rPr>
  </w:style>
  <w:style w:type="character" w:customStyle="1" w:styleId="22">
    <w:name w:val="first-child"/>
    <w:basedOn w:val="11"/>
    <w:autoRedefine/>
    <w:qFormat/>
    <w:uiPriority w:val="0"/>
    <w:rPr>
      <w:b/>
    </w:rPr>
  </w:style>
  <w:style w:type="character" w:customStyle="1" w:styleId="23">
    <w:name w:val="hover26"/>
    <w:basedOn w:val="11"/>
    <w:qFormat/>
    <w:uiPriority w:val="0"/>
    <w:rPr>
      <w:color w:val="F7F7F7"/>
      <w:shd w:val="clear" w:color="auto" w:fill="F54343"/>
    </w:rPr>
  </w:style>
  <w:style w:type="character" w:customStyle="1" w:styleId="24">
    <w:name w:val="hover27"/>
    <w:basedOn w:val="11"/>
    <w:qFormat/>
    <w:uiPriority w:val="0"/>
  </w:style>
  <w:style w:type="character" w:customStyle="1" w:styleId="25">
    <w:name w:val="vsharemore--tnleygt"/>
    <w:basedOn w:val="11"/>
    <w:qFormat/>
    <w:uiPriority w:val="0"/>
  </w:style>
  <w:style w:type="character" w:customStyle="1" w:styleId="26">
    <w:name w:val="curpage-2r-up8zd"/>
    <w:basedOn w:val="11"/>
    <w:qFormat/>
    <w:uiPriority w:val="0"/>
    <w:rPr>
      <w:color w:val="F7F7F7"/>
      <w:shd w:val="clear" w:color="auto" w:fill="F54343"/>
    </w:rPr>
  </w:style>
  <w:style w:type="character" w:customStyle="1" w:styleId="27">
    <w:name w:val="hover23"/>
    <w:basedOn w:val="11"/>
    <w:qFormat/>
    <w:uiPriority w:val="0"/>
  </w:style>
  <w:style w:type="character" w:customStyle="1" w:styleId="28">
    <w:name w:val="hover24"/>
    <w:basedOn w:val="11"/>
    <w:autoRedefine/>
    <w:qFormat/>
    <w:uiPriority w:val="0"/>
    <w:rPr>
      <w:color w:val="F7F7F7"/>
      <w:shd w:val="clear" w:color="auto" w:fill="F54343"/>
    </w:rPr>
  </w:style>
  <w:style w:type="character" w:customStyle="1" w:styleId="29">
    <w:name w:val="first-child1"/>
    <w:basedOn w:val="11"/>
    <w:qFormat/>
    <w:uiPriority w:val="0"/>
    <w:rPr>
      <w:b/>
    </w:rPr>
  </w:style>
  <w:style w:type="character" w:customStyle="1" w:styleId="30">
    <w:name w:val="fontborder"/>
    <w:basedOn w:val="11"/>
    <w:qFormat/>
    <w:uiPriority w:val="0"/>
    <w:rPr>
      <w:bdr w:val="single" w:color="000000" w:sz="6" w:space="0"/>
    </w:rPr>
  </w:style>
  <w:style w:type="character" w:customStyle="1" w:styleId="31">
    <w:name w:val="fontstrikethrough"/>
    <w:basedOn w:val="11"/>
    <w:qFormat/>
    <w:uiPriority w:val="0"/>
    <w:rPr>
      <w:strike/>
    </w:rPr>
  </w:style>
  <w:style w:type="paragraph" w:customStyle="1" w:styleId="32">
    <w:name w:val="样式 小四3"/>
    <w:basedOn w:val="1"/>
    <w:qFormat/>
    <w:uiPriority w:val="0"/>
    <w:pPr>
      <w:widowControl/>
      <w:jc w:val="left"/>
    </w:pPr>
    <w:rPr>
      <w:kern w:val="0"/>
      <w:sz w:val="24"/>
    </w:rPr>
  </w:style>
  <w:style w:type="character" w:customStyle="1" w:styleId="33">
    <w:name w:val="index-module_accountauthentication_3bwix"/>
    <w:basedOn w:val="11"/>
    <w:uiPriority w:val="0"/>
  </w:style>
  <w:style w:type="character" w:customStyle="1" w:styleId="34">
    <w:name w:val="logo"/>
    <w:basedOn w:val="11"/>
    <w:qFormat/>
    <w:uiPriority w:val="0"/>
  </w:style>
  <w:style w:type="character" w:customStyle="1" w:styleId="35">
    <w:name w:val="channel_font"/>
    <w:basedOn w:val="11"/>
    <w:qFormat/>
    <w:uiPriority w:val="0"/>
    <w:rPr>
      <w:color w:val="FFFFFF"/>
    </w:rPr>
  </w:style>
  <w:style w:type="character" w:customStyle="1" w:styleId="36">
    <w:name w:val="fontstyle01"/>
    <w:autoRedefine/>
    <w:qFormat/>
    <w:uiPriority w:val="0"/>
    <w:rPr>
      <w:rFonts w:hint="eastAsia" w:ascii="宋体" w:hAnsi="宋体" w:eastAsia="宋体"/>
      <w:color w:val="000000"/>
      <w:sz w:val="22"/>
      <w:szCs w:val="22"/>
    </w:rPr>
  </w:style>
  <w:style w:type="character" w:customStyle="1" w:styleId="37">
    <w:name w:val="日期 字符"/>
    <w:basedOn w:val="11"/>
    <w:link w:val="5"/>
    <w:uiPriority w:val="0"/>
    <w:rPr>
      <w:kern w:val="2"/>
      <w:sz w:val="21"/>
      <w:szCs w:val="24"/>
    </w:rPr>
  </w:style>
  <w:style w:type="character" w:customStyle="1" w:styleId="38">
    <w:name w:val="页脚 字符"/>
    <w:basedOn w:val="11"/>
    <w:link w:val="6"/>
    <w:uiPriority w:val="99"/>
    <w:rPr>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http://www.furderdrive.com/wp-content/uploads/2016/01/1-150910142GH00.jpg" TargetMode="External"/><Relationship Id="rId14" Type="http://schemas.openxmlformats.org/officeDocument/2006/relationships/image" Target="media/image8.jpeg"/><Relationship Id="rId13" Type="http://schemas.openxmlformats.org/officeDocument/2006/relationships/image" Target="http://5b0988e595225.cdn.sohucs.com/images/20190402/72f2595600034d38a49278f339a9ede5.jpeg" TargetMode="External"/><Relationship Id="rId12" Type="http://schemas.openxmlformats.org/officeDocument/2006/relationships/image" Target="media/image7.jpeg"/><Relationship Id="rId11" Type="http://schemas.openxmlformats.org/officeDocument/2006/relationships/image" Target="http://5b0988e595225.cdn.sohucs.com/images/20190402/9b15e40d9fd7405daaf0dce006a993ca.jpeg" TargetMode="Externa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E0ECF-F98E-41FC-BC3D-9AB6DB4D713A}">
  <ds:schemaRefs/>
</ds:datastoreItem>
</file>

<file path=docProps/app.xml><?xml version="1.0" encoding="utf-8"?>
<Properties xmlns="http://schemas.openxmlformats.org/officeDocument/2006/extended-properties" xmlns:vt="http://schemas.openxmlformats.org/officeDocument/2006/docPropsVTypes">
  <Template>Normal</Template>
  <Pages>11</Pages>
  <Words>5128</Words>
  <Characters>5368</Characters>
  <Lines>40</Lines>
  <Paragraphs>11</Paragraphs>
  <TotalTime>5</TotalTime>
  <ScaleCrop>false</ScaleCrop>
  <LinksUpToDate>false</LinksUpToDate>
  <CharactersWithSpaces>5412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2021-04-29T03:48:00Z</dcterms:created>
  <dc:creator>蒋子强</dc:creator>
  <cp:lastModifiedBy>WPS_1519723213</cp:lastModifiedBy>
  <dcterms:modified xsi:type="dcterms:W3CDTF">2025-03-17T06:37:53Z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A2CA206401974D739A0362B99344B71D</vt:lpwstr>
  </property>
  <property fmtid="{D5CDD505-2E9C-101B-9397-08002B2CF9AE}" pid="4" name="KSOTemplateDocerSaveRecord">
    <vt:lpwstr>eyJoZGlkIjoiZDNlNTdmNzY0ZTllZGQ4NGM5MDk2YTczMDEzNjEwNzAiLCJ1c2VySWQiOiIzNDczODQwNTkifQ==</vt:lpwstr>
  </property>
</Properties>
</file>