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371356">
      <w:pPr>
        <w:adjustRightInd w:val="0"/>
        <w:snapToGrid w:val="0"/>
        <w:spacing w:line="300" w:lineRule="auto"/>
        <w:jc w:val="center"/>
        <w:rPr>
          <w:rFonts w:ascii="宋体" w:hAnsi="宋体" w:cs="宋体"/>
          <w:b/>
          <w:sz w:val="44"/>
          <w:szCs w:val="44"/>
        </w:rPr>
      </w:pPr>
      <w:bookmarkStart w:id="0" w:name="_Toc374462105"/>
      <w:bookmarkStart w:id="1" w:name="_Toc243070325"/>
      <w:bookmarkStart w:id="2" w:name="_Toc498627586"/>
    </w:p>
    <w:p w14:paraId="6B4CEDA7">
      <w:pPr>
        <w:adjustRightInd w:val="0"/>
        <w:snapToGrid w:val="0"/>
        <w:spacing w:line="300" w:lineRule="auto"/>
        <w:jc w:val="center"/>
        <w:rPr>
          <w:rFonts w:ascii="方正小标宋简体" w:eastAsia="方正小标宋简体"/>
          <w:b/>
          <w:sz w:val="36"/>
        </w:rPr>
      </w:pPr>
      <w:r>
        <w:rPr>
          <w:rFonts w:hint="eastAsia" w:ascii="宋体" w:hAnsi="宋体" w:cs="宋体"/>
          <w:b/>
          <w:sz w:val="44"/>
          <w:szCs w:val="44"/>
        </w:rPr>
        <w:t>浙江弗尔德驱动科技有限公司</w:t>
      </w:r>
    </w:p>
    <w:p w14:paraId="44371767">
      <w:pPr>
        <w:adjustRightInd w:val="0"/>
        <w:snapToGrid w:val="0"/>
        <w:spacing w:line="300" w:lineRule="auto"/>
        <w:jc w:val="center"/>
        <w:rPr>
          <w:rFonts w:ascii="宋体" w:hAnsi="宋体" w:cs="宋体"/>
          <w:b/>
          <w:sz w:val="48"/>
          <w:szCs w:val="48"/>
        </w:rPr>
      </w:pPr>
    </w:p>
    <w:p w14:paraId="11CA3F3E">
      <w:pPr>
        <w:adjustRightInd w:val="0"/>
        <w:snapToGrid w:val="0"/>
        <w:spacing w:line="300" w:lineRule="auto"/>
        <w:jc w:val="center"/>
        <w:rPr>
          <w:rFonts w:ascii="宋体" w:hAnsi="宋体" w:cs="宋体"/>
          <w:b/>
          <w:sz w:val="48"/>
          <w:szCs w:val="48"/>
        </w:rPr>
      </w:pPr>
    </w:p>
    <w:p w14:paraId="55D81E15">
      <w:pPr>
        <w:adjustRightInd w:val="0"/>
        <w:snapToGrid w:val="0"/>
        <w:spacing w:line="300" w:lineRule="auto"/>
        <w:jc w:val="center"/>
        <w:rPr>
          <w:rFonts w:ascii="方正小标宋简体" w:eastAsia="方正小标宋简体"/>
          <w:b/>
          <w:sz w:val="52"/>
        </w:rPr>
      </w:pPr>
      <w:r>
        <w:rPr>
          <w:rFonts w:hint="eastAsia" w:ascii="宋体" w:hAnsi="宋体" w:cs="宋体"/>
          <w:b/>
          <w:sz w:val="48"/>
          <w:szCs w:val="48"/>
        </w:rPr>
        <w:t>202</w:t>
      </w:r>
      <w:r>
        <w:rPr>
          <w:rFonts w:hint="eastAsia" w:ascii="宋体" w:hAnsi="宋体" w:cs="宋体"/>
          <w:b/>
          <w:sz w:val="48"/>
          <w:szCs w:val="48"/>
          <w:lang w:val="en-US" w:eastAsia="zh-CN"/>
        </w:rPr>
        <w:t>4</w:t>
      </w:r>
      <w:r>
        <w:rPr>
          <w:rFonts w:hint="eastAsia" w:ascii="宋体" w:hAnsi="宋体" w:cs="宋体"/>
          <w:b/>
          <w:sz w:val="48"/>
          <w:szCs w:val="48"/>
        </w:rPr>
        <w:t>年</w:t>
      </w:r>
    </w:p>
    <w:p w14:paraId="4CC3DA7D">
      <w:pPr>
        <w:adjustRightInd w:val="0"/>
        <w:snapToGrid w:val="0"/>
        <w:spacing w:line="300" w:lineRule="auto"/>
        <w:jc w:val="center"/>
        <w:rPr>
          <w:rFonts w:ascii="宋体" w:hAnsi="宋体" w:cs="宋体"/>
          <w:b/>
          <w:sz w:val="44"/>
          <w:szCs w:val="44"/>
        </w:rPr>
      </w:pPr>
    </w:p>
    <w:p w14:paraId="6BADC788">
      <w:pPr>
        <w:adjustRightInd w:val="0"/>
        <w:snapToGrid w:val="0"/>
        <w:spacing w:line="300" w:lineRule="auto"/>
        <w:jc w:val="center"/>
        <w:rPr>
          <w:rFonts w:ascii="宋体" w:hAnsi="宋体" w:cs="宋体"/>
          <w:b/>
          <w:sz w:val="44"/>
          <w:szCs w:val="44"/>
        </w:rPr>
      </w:pPr>
    </w:p>
    <w:p w14:paraId="45CDF0E1">
      <w:pPr>
        <w:adjustRightInd w:val="0"/>
        <w:snapToGrid w:val="0"/>
        <w:spacing w:line="300" w:lineRule="auto"/>
        <w:jc w:val="center"/>
        <w:rPr>
          <w:rFonts w:ascii="宋体" w:hAnsi="宋体" w:cs="宋体"/>
          <w:b/>
          <w:sz w:val="44"/>
          <w:szCs w:val="44"/>
        </w:rPr>
      </w:pPr>
      <w:r>
        <w:rPr>
          <w:rFonts w:hint="eastAsia" w:ascii="宋体" w:hAnsi="宋体" w:cs="宋体"/>
          <w:b/>
          <w:sz w:val="44"/>
          <w:szCs w:val="44"/>
        </w:rPr>
        <w:t>质量信用报告</w:t>
      </w:r>
      <w:bookmarkEnd w:id="0"/>
      <w:bookmarkEnd w:id="1"/>
      <w:bookmarkEnd w:id="2"/>
    </w:p>
    <w:p w14:paraId="1B9A289D">
      <w:pPr>
        <w:adjustRightInd w:val="0"/>
        <w:snapToGrid w:val="0"/>
        <w:spacing w:line="300" w:lineRule="auto"/>
      </w:pPr>
    </w:p>
    <w:p w14:paraId="302FEEC9">
      <w:pPr>
        <w:pStyle w:val="21"/>
        <w:adjustRightInd w:val="0"/>
        <w:snapToGrid w:val="0"/>
        <w:spacing w:before="0" w:after="0" w:line="300" w:lineRule="auto"/>
        <w:outlineLvl w:val="9"/>
        <w:rPr>
          <w:rFonts w:ascii="方正仿宋简体" w:hAnsi="Calibri" w:eastAsia="方正仿宋简体" w:cs="宋体"/>
          <w:b w:val="0"/>
          <w:bCs w:val="0"/>
          <w:kern w:val="0"/>
          <w:lang w:val="zh-CN"/>
        </w:rPr>
      </w:pPr>
    </w:p>
    <w:p w14:paraId="3C2E6D69">
      <w:pPr>
        <w:pStyle w:val="21"/>
        <w:adjustRightInd w:val="0"/>
        <w:snapToGrid w:val="0"/>
        <w:spacing w:before="0" w:after="0" w:line="300" w:lineRule="auto"/>
        <w:outlineLvl w:val="9"/>
        <w:rPr>
          <w:rFonts w:ascii="方正仿宋简体" w:hAnsi="Calibri" w:eastAsia="方正仿宋简体" w:cs="宋体"/>
          <w:b w:val="0"/>
          <w:bCs w:val="0"/>
          <w:kern w:val="0"/>
          <w:lang w:val="zh-CN"/>
        </w:rPr>
      </w:pPr>
    </w:p>
    <w:p w14:paraId="6DE07517">
      <w:pPr>
        <w:rPr>
          <w:rFonts w:ascii="方正仿宋简体" w:hAnsi="Calibri" w:eastAsia="方正仿宋简体" w:cs="宋体"/>
          <w:kern w:val="0"/>
          <w:lang w:val="zh-CN"/>
        </w:rPr>
      </w:pPr>
    </w:p>
    <w:p w14:paraId="680B26D3">
      <w:pPr>
        <w:pStyle w:val="21"/>
        <w:adjustRightInd w:val="0"/>
        <w:snapToGrid w:val="0"/>
        <w:spacing w:before="0" w:after="0" w:line="300" w:lineRule="auto"/>
        <w:outlineLvl w:val="9"/>
        <w:rPr>
          <w:rFonts w:ascii="方正仿宋简体" w:hAnsi="Calibri" w:eastAsia="方正仿宋简体" w:cs="宋体"/>
          <w:b w:val="0"/>
          <w:bCs w:val="0"/>
          <w:kern w:val="0"/>
          <w:lang w:val="zh-CN"/>
        </w:rPr>
      </w:pPr>
    </w:p>
    <w:p w14:paraId="32D95AB6">
      <w:pPr>
        <w:rPr>
          <w:rFonts w:ascii="方正仿宋简体" w:hAnsi="Calibri" w:eastAsia="方正仿宋简体" w:cs="宋体"/>
          <w:kern w:val="0"/>
          <w:lang w:val="zh-CN"/>
        </w:rPr>
      </w:pPr>
    </w:p>
    <w:p w14:paraId="73D7F6D0">
      <w:pPr>
        <w:pStyle w:val="21"/>
        <w:adjustRightInd w:val="0"/>
        <w:snapToGrid w:val="0"/>
        <w:spacing w:before="0" w:after="0" w:line="300" w:lineRule="auto"/>
        <w:outlineLvl w:val="9"/>
        <w:rPr>
          <w:rFonts w:ascii="楷体" w:hAnsi="楷体" w:eastAsia="楷体" w:cs="楷体"/>
          <w:b w:val="0"/>
          <w:bCs w:val="0"/>
          <w:kern w:val="0"/>
          <w:sz w:val="48"/>
          <w:szCs w:val="48"/>
        </w:rPr>
      </w:pPr>
      <w:bookmarkStart w:id="3" w:name="_Toc9327"/>
      <w:r>
        <w:rPr>
          <w:rFonts w:hint="eastAsia" w:ascii="楷体" w:hAnsi="楷体" w:eastAsia="楷体" w:cs="楷体"/>
          <w:b w:val="0"/>
          <w:bCs w:val="0"/>
          <w:kern w:val="0"/>
          <w:sz w:val="48"/>
          <w:szCs w:val="48"/>
        </w:rPr>
        <w:t>二零二</w:t>
      </w:r>
      <w:r>
        <w:rPr>
          <w:rFonts w:hint="eastAsia" w:ascii="楷体" w:hAnsi="楷体" w:eastAsia="楷体" w:cs="楷体"/>
          <w:b w:val="0"/>
          <w:bCs w:val="0"/>
          <w:kern w:val="0"/>
          <w:sz w:val="48"/>
          <w:szCs w:val="48"/>
          <w:lang w:eastAsia="zh-CN"/>
        </w:rPr>
        <w:t>四</w:t>
      </w:r>
      <w:r>
        <w:rPr>
          <w:rFonts w:hint="eastAsia" w:ascii="楷体" w:hAnsi="楷体" w:eastAsia="楷体" w:cs="楷体"/>
          <w:b w:val="0"/>
          <w:bCs w:val="0"/>
          <w:kern w:val="0"/>
          <w:sz w:val="48"/>
          <w:szCs w:val="48"/>
        </w:rPr>
        <w:t>年十二月</w:t>
      </w:r>
      <w:bookmarkEnd w:id="3"/>
    </w:p>
    <w:p w14:paraId="761CFCA2">
      <w:pPr>
        <w:pStyle w:val="30"/>
        <w:adjustRightInd w:val="0"/>
        <w:snapToGrid w:val="0"/>
        <w:spacing w:line="300" w:lineRule="auto"/>
        <w:jc w:val="center"/>
        <w:outlineLvl w:val="9"/>
        <w:rPr>
          <w:rFonts w:ascii="方正楷体简体" w:eastAsia="方正楷体简体"/>
          <w:sz w:val="32"/>
          <w:szCs w:val="32"/>
        </w:rPr>
        <w:sectPr>
          <w:footerReference r:id="rId3" w:type="default"/>
          <w:footerReference r:id="rId4" w:type="even"/>
          <w:pgSz w:w="11906" w:h="16838"/>
          <w:pgMar w:top="1985" w:right="1361" w:bottom="1361" w:left="1588" w:header="851" w:footer="1417" w:gutter="0"/>
          <w:pgNumType w:fmt="numberInDash"/>
          <w:cols w:space="425" w:num="1"/>
          <w:docGrid w:type="lines" w:linePitch="312" w:charSpace="0"/>
        </w:sectPr>
      </w:pPr>
      <w:bookmarkStart w:id="4" w:name="_Toc408837544"/>
    </w:p>
    <w:p w14:paraId="56C0DCFD">
      <w:pPr>
        <w:jc w:val="center"/>
        <w:rPr>
          <w:rFonts w:ascii="方正仿宋简体" w:hAnsi="方正仿宋简体" w:eastAsia="方正仿宋简体" w:cs="方正仿宋简体"/>
          <w:sz w:val="24"/>
        </w:rPr>
      </w:pPr>
      <w:bookmarkStart w:id="5" w:name="_Toc498627590"/>
      <w:r>
        <w:rPr>
          <w:rFonts w:hint="eastAsia" w:ascii="方正仿宋简体" w:hAnsi="方正仿宋简体" w:eastAsia="方正仿宋简体" w:cs="方正仿宋简体"/>
          <w:b/>
          <w:bCs/>
          <w:sz w:val="32"/>
          <w:szCs w:val="32"/>
        </w:rPr>
        <w:t>目录</w:t>
      </w:r>
      <w:r>
        <w:rPr>
          <w:rFonts w:hint="eastAsia" w:ascii="方正仿宋简体" w:hAnsi="方正仿宋简体" w:eastAsia="方正仿宋简体" w:cs="方正仿宋简体"/>
          <w:sz w:val="24"/>
        </w:rPr>
        <w:fldChar w:fldCharType="begin"/>
      </w:r>
      <w:r>
        <w:rPr>
          <w:rFonts w:hint="eastAsia" w:ascii="方正仿宋简体" w:hAnsi="方正仿宋简体" w:eastAsia="方正仿宋简体" w:cs="方正仿宋简体"/>
          <w:sz w:val="24"/>
        </w:rPr>
        <w:instrText xml:space="preserve">TOC \o "1-3" \h \u </w:instrText>
      </w:r>
      <w:r>
        <w:rPr>
          <w:rFonts w:hint="eastAsia" w:ascii="方正仿宋简体" w:hAnsi="方正仿宋简体" w:eastAsia="方正仿宋简体" w:cs="方正仿宋简体"/>
          <w:sz w:val="24"/>
        </w:rPr>
        <w:fldChar w:fldCharType="separate"/>
      </w:r>
    </w:p>
    <w:p w14:paraId="54FC57D4">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"_Toc18784" </w:instrText>
      </w:r>
      <w:r>
        <w:fldChar w:fldCharType="separate"/>
      </w:r>
      <w:r>
        <w:rPr>
          <w:rFonts w:hint="eastAsia" w:ascii="方正仿宋简体" w:hAnsi="方正仿宋简体" w:eastAsia="方正仿宋简体" w:cs="方正仿宋简体"/>
          <w:b/>
          <w:bCs/>
          <w:sz w:val="24"/>
          <w:szCs w:val="24"/>
        </w:rPr>
        <w:t>第一部分 前言</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_Toc18784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- 3 -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0C37012F">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"_Toc30119" </w:instrText>
      </w:r>
      <w:r>
        <w:fldChar w:fldCharType="separate"/>
      </w:r>
      <w:r>
        <w:rPr>
          <w:rFonts w:hint="eastAsia" w:ascii="方正仿宋简体" w:hAnsi="方正仿宋简体" w:eastAsia="方正仿宋简体" w:cs="方正仿宋简体"/>
          <w:b/>
          <w:bCs/>
          <w:sz w:val="24"/>
          <w:szCs w:val="24"/>
        </w:rPr>
        <w:t>1.1 报告编制说明</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_Toc30119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- 3 -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02C103D6">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"_Toc12557" </w:instrText>
      </w:r>
      <w:r>
        <w:fldChar w:fldCharType="separate"/>
      </w:r>
      <w:r>
        <w:rPr>
          <w:rFonts w:hint="eastAsia" w:ascii="方正仿宋简体" w:hAnsi="方正仿宋简体" w:eastAsia="方正仿宋简体" w:cs="方正仿宋简体"/>
          <w:b/>
          <w:bCs/>
          <w:sz w:val="24"/>
          <w:szCs w:val="24"/>
        </w:rPr>
        <w:t>1.2 企业简介</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_Toc12557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- 3 -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78770AFE">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"_Toc5056" </w:instrText>
      </w:r>
      <w:r>
        <w:fldChar w:fldCharType="separate"/>
      </w:r>
      <w:r>
        <w:rPr>
          <w:rFonts w:hint="eastAsia" w:ascii="方正仿宋简体" w:hAnsi="方正仿宋简体" w:eastAsia="方正仿宋简体" w:cs="方正仿宋简体"/>
          <w:b/>
          <w:bCs/>
          <w:sz w:val="24"/>
          <w:szCs w:val="24"/>
        </w:rPr>
        <w:t>第二部分 报告正文</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_Toc5056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- 5 -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52412124">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"_Toc26877" </w:instrText>
      </w:r>
      <w:r>
        <w:fldChar w:fldCharType="separate"/>
      </w:r>
      <w:r>
        <w:rPr>
          <w:rFonts w:hint="eastAsia" w:ascii="方正仿宋简体" w:hAnsi="方正仿宋简体" w:eastAsia="方正仿宋简体" w:cs="方正仿宋简体"/>
          <w:b/>
          <w:bCs/>
          <w:sz w:val="24"/>
          <w:szCs w:val="24"/>
        </w:rPr>
        <w:t>2.1 企业质量理念</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_Toc26877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- 5 -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217B7607">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"_Toc19482" </w:instrText>
      </w:r>
      <w:r>
        <w:fldChar w:fldCharType="separate"/>
      </w:r>
      <w:r>
        <w:rPr>
          <w:rFonts w:hint="eastAsia" w:ascii="方正仿宋简体" w:hAnsi="方正仿宋简体" w:eastAsia="方正仿宋简体" w:cs="方正仿宋简体"/>
          <w:b/>
          <w:bCs/>
          <w:sz w:val="24"/>
          <w:szCs w:val="24"/>
        </w:rPr>
        <w:t>2.2 企业质量管理</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_Toc19482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- 7 -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1F9EAAE0">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"_Toc10569" </w:instrText>
      </w:r>
      <w:r>
        <w:fldChar w:fldCharType="separate"/>
      </w:r>
      <w:r>
        <w:rPr>
          <w:rFonts w:hint="eastAsia" w:ascii="方正仿宋简体" w:hAnsi="方正仿宋简体" w:eastAsia="方正仿宋简体" w:cs="方正仿宋简体"/>
          <w:b/>
          <w:bCs/>
          <w:sz w:val="24"/>
          <w:szCs w:val="24"/>
        </w:rPr>
        <w:t>2.2.1 组织架构图:</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_Toc10569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- 7 -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34DF3664">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"_Toc20007" </w:instrText>
      </w:r>
      <w:r>
        <w:fldChar w:fldCharType="separate"/>
      </w:r>
      <w:r>
        <w:rPr>
          <w:rFonts w:hint="eastAsia" w:ascii="方正仿宋简体" w:hAnsi="方正仿宋简体" w:eastAsia="方正仿宋简体" w:cs="方正仿宋简体"/>
          <w:b/>
          <w:bCs/>
          <w:sz w:val="24"/>
          <w:szCs w:val="24"/>
        </w:rPr>
        <w:t>2.2.2 管理者代表</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_Toc20007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- 7 -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753E42D9">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"_Toc25510" </w:instrText>
      </w:r>
      <w:r>
        <w:fldChar w:fldCharType="separate"/>
      </w:r>
      <w:r>
        <w:rPr>
          <w:rFonts w:hint="eastAsia" w:ascii="方正仿宋简体" w:hAnsi="方正仿宋简体" w:eastAsia="方正仿宋简体" w:cs="方正仿宋简体"/>
          <w:b/>
          <w:bCs/>
          <w:sz w:val="24"/>
          <w:szCs w:val="24"/>
        </w:rPr>
        <w:t>2.2.3 质量部</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_Toc25510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- 7 -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621F579D">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"_Toc30726" </w:instrText>
      </w:r>
      <w:r>
        <w:fldChar w:fldCharType="separate"/>
      </w:r>
      <w:r>
        <w:rPr>
          <w:rFonts w:hint="eastAsia" w:ascii="方正仿宋简体" w:hAnsi="方正仿宋简体" w:eastAsia="方正仿宋简体" w:cs="方正仿宋简体"/>
          <w:b/>
          <w:bCs/>
          <w:sz w:val="24"/>
          <w:szCs w:val="24"/>
        </w:rPr>
        <w:t>2.2.4 质量管理体系</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_Toc30726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- 9 -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1DF2AAC3">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"_Toc17748" </w:instrText>
      </w:r>
      <w:r>
        <w:fldChar w:fldCharType="separate"/>
      </w:r>
      <w:r>
        <w:rPr>
          <w:rFonts w:hint="eastAsia" w:ascii="方正仿宋简体" w:hAnsi="方正仿宋简体" w:eastAsia="方正仿宋简体" w:cs="方正仿宋简体"/>
          <w:b/>
          <w:bCs/>
          <w:sz w:val="24"/>
          <w:szCs w:val="24"/>
        </w:rPr>
        <w:t>2.3 质量诚信管理</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_Toc17748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- 11 -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30992150">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"_Toc11598" </w:instrText>
      </w:r>
      <w:r>
        <w:fldChar w:fldCharType="separate"/>
      </w:r>
      <w:r>
        <w:rPr>
          <w:rFonts w:hint="eastAsia" w:ascii="方正仿宋简体" w:hAnsi="方正仿宋简体" w:eastAsia="方正仿宋简体" w:cs="方正仿宋简体"/>
          <w:b/>
          <w:bCs/>
          <w:sz w:val="24"/>
          <w:szCs w:val="24"/>
        </w:rPr>
        <w:t>2.4 质量管理基础</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_Toc11598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- 13 -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440852CE">
      <w:pPr>
        <w:pStyle w:val="18"/>
        <w:tabs>
          <w:tab w:val="right" w:leader="dot" w:pos="8957"/>
        </w:tabs>
        <w:rPr>
          <w:rFonts w:ascii="方正仿宋简体" w:hAnsi="方正仿宋简体" w:eastAsia="方正仿宋简体" w:cs="方正仿宋简体"/>
          <w:b/>
          <w:bCs/>
          <w:sz w:val="24"/>
          <w:szCs w:val="24"/>
        </w:rPr>
      </w:pPr>
      <w:r>
        <w:fldChar w:fldCharType="begin"/>
      </w:r>
      <w:r>
        <w:instrText xml:space="preserve"> HYPERLINK \l "_Toc15111" </w:instrText>
      </w:r>
      <w:r>
        <w:fldChar w:fldCharType="separate"/>
      </w:r>
      <w:r>
        <w:rPr>
          <w:rFonts w:hint="eastAsia" w:ascii="方正仿宋简体" w:hAnsi="方正仿宋简体" w:eastAsia="方正仿宋简体" w:cs="方正仿宋简体"/>
          <w:b/>
          <w:bCs/>
          <w:sz w:val="24"/>
          <w:szCs w:val="24"/>
        </w:rPr>
        <w:t>2.5 产品质量责任</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_Toc15111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- 16 -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331CD8DC">
      <w:pPr>
        <w:pStyle w:val="18"/>
        <w:tabs>
          <w:tab w:val="right" w:leader="dot" w:pos="8957"/>
        </w:tabs>
        <w:rPr>
          <w:rFonts w:ascii="方正仿宋简体" w:hAnsi="方正仿宋简体" w:eastAsia="方正仿宋简体" w:cs="方正仿宋简体"/>
          <w:sz w:val="24"/>
          <w:szCs w:val="24"/>
        </w:rPr>
      </w:pPr>
      <w:r>
        <w:fldChar w:fldCharType="begin"/>
      </w:r>
      <w:r>
        <w:instrText xml:space="preserve"> HYPERLINK \l "_Toc17429" </w:instrText>
      </w:r>
      <w:r>
        <w:fldChar w:fldCharType="separate"/>
      </w:r>
      <w:r>
        <w:rPr>
          <w:rFonts w:hint="eastAsia" w:ascii="方正仿宋简体" w:hAnsi="方正仿宋简体" w:eastAsia="方正仿宋简体" w:cs="方正仿宋简体"/>
          <w:b/>
          <w:bCs/>
          <w:sz w:val="24"/>
          <w:szCs w:val="24"/>
        </w:rPr>
        <w:t>第三部分 报告结语</w:t>
      </w:r>
      <w:r>
        <w:rPr>
          <w:rFonts w:hint="eastAsia" w:ascii="方正仿宋简体" w:hAnsi="方正仿宋简体" w:eastAsia="方正仿宋简体" w:cs="方正仿宋简体"/>
          <w:b/>
          <w:bCs/>
          <w:sz w:val="24"/>
          <w:szCs w:val="24"/>
        </w:rPr>
        <w:tab/>
      </w:r>
      <w:r>
        <w:rPr>
          <w:rFonts w:hint="eastAsia" w:ascii="方正仿宋简体" w:hAnsi="方正仿宋简体" w:eastAsia="方正仿宋简体" w:cs="方正仿宋简体"/>
          <w:b/>
          <w:bCs/>
          <w:sz w:val="24"/>
          <w:szCs w:val="24"/>
        </w:rPr>
        <w:fldChar w:fldCharType="begin"/>
      </w:r>
      <w:r>
        <w:rPr>
          <w:rFonts w:hint="eastAsia" w:ascii="方正仿宋简体" w:hAnsi="方正仿宋简体" w:eastAsia="方正仿宋简体" w:cs="方正仿宋简体"/>
          <w:b/>
          <w:bCs/>
          <w:sz w:val="24"/>
          <w:szCs w:val="24"/>
        </w:rPr>
        <w:instrText xml:space="preserve"> PAGEREF _Toc17429 \h </w:instrText>
      </w:r>
      <w:r>
        <w:rPr>
          <w:rFonts w:hint="eastAsia" w:ascii="方正仿宋简体" w:hAnsi="方正仿宋简体" w:eastAsia="方正仿宋简体" w:cs="方正仿宋简体"/>
          <w:b/>
          <w:bCs/>
          <w:sz w:val="24"/>
          <w:szCs w:val="24"/>
        </w:rPr>
        <w:fldChar w:fldCharType="separate"/>
      </w:r>
      <w:r>
        <w:rPr>
          <w:rFonts w:hint="eastAsia" w:ascii="方正仿宋简体" w:hAnsi="方正仿宋简体" w:eastAsia="方正仿宋简体" w:cs="方正仿宋简体"/>
          <w:b/>
          <w:bCs/>
          <w:sz w:val="24"/>
          <w:szCs w:val="24"/>
        </w:rPr>
        <w:t>- 24 -</w:t>
      </w:r>
      <w:r>
        <w:rPr>
          <w:rFonts w:hint="eastAsia" w:ascii="方正仿宋简体" w:hAnsi="方正仿宋简体" w:eastAsia="方正仿宋简体" w:cs="方正仿宋简体"/>
          <w:b/>
          <w:bCs/>
          <w:sz w:val="24"/>
          <w:szCs w:val="24"/>
        </w:rPr>
        <w:fldChar w:fldCharType="end"/>
      </w:r>
      <w:r>
        <w:rPr>
          <w:rFonts w:hint="eastAsia" w:ascii="方正仿宋简体" w:hAnsi="方正仿宋简体" w:eastAsia="方正仿宋简体" w:cs="方正仿宋简体"/>
          <w:b/>
          <w:bCs/>
          <w:sz w:val="24"/>
          <w:szCs w:val="24"/>
        </w:rPr>
        <w:fldChar w:fldCharType="end"/>
      </w:r>
    </w:p>
    <w:p w14:paraId="24E401CF">
      <w:pPr>
        <w:rPr>
          <w:rFonts w:ascii="方正仿宋简体" w:hAnsi="方正仿宋简体" w:eastAsia="方正仿宋简体" w:cs="方正仿宋简体"/>
          <w:sz w:val="24"/>
        </w:rPr>
        <w:sectPr>
          <w:pgSz w:w="11906" w:h="16838"/>
          <w:pgMar w:top="1985" w:right="1361" w:bottom="1361" w:left="1588" w:header="851" w:footer="1417" w:gutter="0"/>
          <w:pgNumType w:fmt="numberInDash"/>
          <w:cols w:space="425" w:num="1"/>
          <w:docGrid w:type="lines" w:linePitch="312" w:charSpace="0"/>
        </w:sectPr>
      </w:pPr>
      <w:r>
        <w:rPr>
          <w:rFonts w:hint="eastAsia" w:ascii="方正仿宋简体" w:hAnsi="方正仿宋简体" w:eastAsia="方正仿宋简体" w:cs="方正仿宋简体"/>
          <w:sz w:val="24"/>
        </w:rPr>
        <w:fldChar w:fldCharType="end"/>
      </w:r>
      <w:bookmarkStart w:id="6" w:name="_Toc18784"/>
    </w:p>
    <w:p w14:paraId="5EAA67F1">
      <w:pPr>
        <w:pStyle w:val="30"/>
        <w:adjustRightInd w:val="0"/>
        <w:snapToGrid w:val="0"/>
        <w:spacing w:before="312" w:beforeLines="100" w:after="312" w:afterLines="100" w:line="300" w:lineRule="auto"/>
        <w:jc w:val="center"/>
        <w:outlineLvl w:val="0"/>
        <w:rPr>
          <w:rFonts w:ascii="方正楷体简体" w:eastAsia="方正楷体简体"/>
          <w:sz w:val="32"/>
          <w:szCs w:val="32"/>
        </w:rPr>
      </w:pPr>
      <w:r>
        <w:rPr>
          <w:rFonts w:hint="eastAsia" w:ascii="方正楷体简体" w:eastAsia="方正楷体简体"/>
          <w:sz w:val="32"/>
          <w:szCs w:val="32"/>
        </w:rPr>
        <w:t>第一部分 前言</w:t>
      </w:r>
      <w:bookmarkEnd w:id="4"/>
      <w:bookmarkEnd w:id="5"/>
      <w:bookmarkEnd w:id="6"/>
    </w:p>
    <w:p w14:paraId="2FD3A976">
      <w:pPr>
        <w:pStyle w:val="30"/>
        <w:adjustRightInd w:val="0"/>
        <w:snapToGrid w:val="0"/>
        <w:spacing w:line="300" w:lineRule="auto"/>
        <w:rPr>
          <w:rFonts w:ascii="方正楷体简体" w:eastAsia="方正楷体简体"/>
          <w:sz w:val="32"/>
          <w:szCs w:val="32"/>
        </w:rPr>
      </w:pPr>
      <w:bookmarkStart w:id="7" w:name="_Toc498627591"/>
      <w:bookmarkStart w:id="8" w:name="_Toc30119"/>
      <w:r>
        <w:rPr>
          <w:rFonts w:hint="eastAsia" w:ascii="方正楷体简体" w:eastAsia="方正楷体简体"/>
          <w:sz w:val="28"/>
          <w:szCs w:val="28"/>
        </w:rPr>
        <w:t>1.1 报告编制说明</w:t>
      </w:r>
      <w:bookmarkEnd w:id="7"/>
      <w:bookmarkEnd w:id="8"/>
    </w:p>
    <w:p w14:paraId="49462AA0">
      <w:pPr>
        <w:adjustRightInd w:val="0"/>
        <w:snapToGrid w:val="0"/>
        <w:spacing w:line="300" w:lineRule="auto"/>
        <w:ind w:firstLine="480" w:firstLineChars="200"/>
        <w:outlineLvl w:val="2"/>
        <w:rPr>
          <w:rFonts w:ascii="方正仿宋简体" w:hAnsi="Calibri" w:eastAsia="方正仿宋简体" w:cs="宋体"/>
          <w:kern w:val="0"/>
          <w:sz w:val="24"/>
          <w:lang w:val="zh-CN"/>
        </w:rPr>
      </w:pPr>
      <w:bookmarkStart w:id="9" w:name="_Toc11956"/>
      <w:r>
        <w:rPr>
          <w:rFonts w:hint="eastAsia" w:ascii="方正仿宋简体" w:hAnsi="Calibri" w:eastAsia="方正仿宋简体" w:cs="宋体"/>
          <w:kern w:val="0"/>
          <w:sz w:val="24"/>
          <w:lang w:val="zh-CN"/>
        </w:rPr>
        <w:t>a）报告内容客观性声明</w:t>
      </w:r>
      <w:bookmarkEnd w:id="9"/>
    </w:p>
    <w:p w14:paraId="219AF572">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浙江弗尔德驱动科技有限公司在本报告中，客观、真实、公正地公布了企业的信用信息。基于此，我们欢迎社会公众对我们公布的内容监督，提出意见和建议。</w:t>
      </w:r>
    </w:p>
    <w:p w14:paraId="5BF0A421">
      <w:pPr>
        <w:adjustRightInd w:val="0"/>
        <w:snapToGrid w:val="0"/>
        <w:spacing w:line="300" w:lineRule="auto"/>
        <w:ind w:firstLine="480" w:firstLineChars="200"/>
        <w:outlineLvl w:val="2"/>
        <w:rPr>
          <w:rFonts w:ascii="方正仿宋简体" w:hAnsi="Calibri" w:eastAsia="方正仿宋简体" w:cs="宋体"/>
          <w:kern w:val="0"/>
          <w:sz w:val="24"/>
          <w:lang w:val="zh-CN"/>
        </w:rPr>
      </w:pPr>
      <w:bookmarkStart w:id="10" w:name="_Toc23639"/>
      <w:r>
        <w:rPr>
          <w:rFonts w:hint="eastAsia" w:ascii="方正仿宋简体" w:hAnsi="Calibri" w:eastAsia="方正仿宋简体" w:cs="宋体"/>
          <w:kern w:val="0"/>
          <w:sz w:val="24"/>
          <w:lang w:val="zh-CN"/>
        </w:rPr>
        <w:t>b）报告的组织范围</w:t>
      </w:r>
      <w:bookmarkEnd w:id="10"/>
    </w:p>
    <w:p w14:paraId="23F15861">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本报告覆盖浙江弗尔德驱动科技有限公司</w:t>
      </w:r>
      <w:r>
        <w:rPr>
          <w:rFonts w:hint="eastAsia" w:ascii="方正仿宋简体" w:hAnsi="Calibri" w:eastAsia="方正仿宋简体" w:cs="宋体"/>
          <w:kern w:val="0"/>
          <w:sz w:val="24"/>
        </w:rPr>
        <w:t>所有部门。</w:t>
      </w:r>
      <w:r>
        <w:rPr>
          <w:rFonts w:hint="eastAsia" w:ascii="方正仿宋简体" w:hAnsi="Calibri" w:eastAsia="方正仿宋简体" w:cs="宋体"/>
          <w:kern w:val="0"/>
          <w:sz w:val="24"/>
          <w:lang w:val="zh-CN"/>
        </w:rPr>
        <w:t>上述</w:t>
      </w:r>
      <w:r>
        <w:rPr>
          <w:rFonts w:hint="eastAsia" w:ascii="方正仿宋简体" w:hAnsi="Calibri" w:eastAsia="方正仿宋简体" w:cs="宋体"/>
          <w:kern w:val="0"/>
          <w:sz w:val="24"/>
        </w:rPr>
        <w:t>部门</w:t>
      </w:r>
      <w:r>
        <w:rPr>
          <w:rFonts w:hint="eastAsia" w:ascii="方正仿宋简体" w:hAnsi="Calibri" w:eastAsia="方正仿宋简体" w:cs="宋体"/>
          <w:kern w:val="0"/>
          <w:sz w:val="24"/>
          <w:lang w:val="zh-CN"/>
        </w:rPr>
        <w:t>均是本报告的责任主体。</w:t>
      </w:r>
    </w:p>
    <w:p w14:paraId="7DDEA467">
      <w:pPr>
        <w:adjustRightInd w:val="0"/>
        <w:snapToGrid w:val="0"/>
        <w:spacing w:line="300" w:lineRule="auto"/>
        <w:ind w:firstLine="480" w:firstLineChars="200"/>
        <w:outlineLvl w:val="2"/>
        <w:rPr>
          <w:rFonts w:ascii="方正仿宋简体" w:hAnsi="Calibri" w:eastAsia="方正仿宋简体" w:cs="宋体"/>
          <w:kern w:val="0"/>
          <w:sz w:val="24"/>
          <w:lang w:val="zh-CN"/>
        </w:rPr>
      </w:pPr>
      <w:bookmarkStart w:id="11" w:name="_Toc20925"/>
      <w:r>
        <w:rPr>
          <w:rFonts w:hint="eastAsia" w:ascii="方正仿宋简体" w:hAnsi="Calibri" w:eastAsia="方正仿宋简体" w:cs="宋体"/>
          <w:kern w:val="0"/>
          <w:sz w:val="24"/>
          <w:lang w:val="zh-CN"/>
        </w:rPr>
        <w:t>c）报告时间范围</w:t>
      </w:r>
      <w:bookmarkEnd w:id="11"/>
    </w:p>
    <w:p w14:paraId="5BAF8EC3">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本报告时间范围：20</w:t>
      </w:r>
      <w:r>
        <w:rPr>
          <w:rFonts w:hint="eastAsia" w:ascii="方正仿宋简体" w:hAnsi="Calibri" w:eastAsia="方正仿宋简体" w:cs="宋体"/>
          <w:kern w:val="0"/>
          <w:sz w:val="24"/>
        </w:rPr>
        <w:t>2</w:t>
      </w:r>
      <w:r>
        <w:rPr>
          <w:rFonts w:hint="eastAsia" w:ascii="方正仿宋简体" w:hAnsi="Calibri" w:eastAsia="方正仿宋简体" w:cs="宋体"/>
          <w:kern w:val="0"/>
          <w:sz w:val="24"/>
          <w:lang w:val="en-US" w:eastAsia="zh-CN"/>
        </w:rPr>
        <w:t>3</w:t>
      </w:r>
      <w:r>
        <w:rPr>
          <w:rFonts w:hint="eastAsia" w:ascii="方正仿宋简体" w:hAnsi="Calibri" w:eastAsia="方正仿宋简体" w:cs="宋体"/>
          <w:kern w:val="0"/>
          <w:sz w:val="24"/>
          <w:lang w:val="zh-CN"/>
        </w:rPr>
        <w:t>年11月-20</w:t>
      </w:r>
      <w:r>
        <w:rPr>
          <w:rFonts w:hint="eastAsia" w:ascii="方正仿宋简体" w:hAnsi="Calibri" w:eastAsia="方正仿宋简体" w:cs="宋体"/>
          <w:kern w:val="0"/>
          <w:sz w:val="24"/>
        </w:rPr>
        <w:t>2</w:t>
      </w:r>
      <w:r>
        <w:rPr>
          <w:rFonts w:hint="eastAsia" w:ascii="方正仿宋简体" w:hAnsi="Calibri" w:eastAsia="方正仿宋简体" w:cs="宋体"/>
          <w:kern w:val="0"/>
          <w:sz w:val="24"/>
          <w:lang w:val="en-US" w:eastAsia="zh-CN"/>
        </w:rPr>
        <w:t>4</w:t>
      </w:r>
      <w:r>
        <w:rPr>
          <w:rFonts w:hint="eastAsia" w:ascii="方正仿宋简体" w:hAnsi="Calibri" w:eastAsia="方正仿宋简体" w:cs="宋体"/>
          <w:kern w:val="0"/>
          <w:sz w:val="24"/>
          <w:lang w:val="zh-CN"/>
        </w:rPr>
        <w:t>年11月。</w:t>
      </w:r>
    </w:p>
    <w:p w14:paraId="498569BD">
      <w:pPr>
        <w:adjustRightInd w:val="0"/>
        <w:snapToGrid w:val="0"/>
        <w:spacing w:line="300" w:lineRule="auto"/>
        <w:ind w:firstLine="480" w:firstLineChars="200"/>
        <w:outlineLvl w:val="2"/>
        <w:rPr>
          <w:rFonts w:ascii="方正仿宋简体" w:hAnsi="Calibri" w:eastAsia="方正仿宋简体" w:cs="宋体"/>
          <w:kern w:val="0"/>
          <w:sz w:val="24"/>
          <w:lang w:val="zh-CN"/>
        </w:rPr>
      </w:pPr>
      <w:bookmarkStart w:id="12" w:name="_Toc7304"/>
      <w:r>
        <w:rPr>
          <w:rFonts w:hint="eastAsia" w:ascii="方正仿宋简体" w:hAnsi="Calibri" w:eastAsia="方正仿宋简体" w:cs="宋体"/>
          <w:kern w:val="0"/>
          <w:sz w:val="24"/>
          <w:lang w:val="zh-CN"/>
        </w:rPr>
        <w:t>d）报告发布周期</w:t>
      </w:r>
      <w:bookmarkEnd w:id="12"/>
    </w:p>
    <w:p w14:paraId="5881A290">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本公司以1年为周期，并将根据实际情况动态更新报告内容。下期报告发布时间为20</w:t>
      </w:r>
      <w:r>
        <w:rPr>
          <w:rFonts w:hint="eastAsia" w:ascii="方正仿宋简体" w:hAnsi="Calibri" w:eastAsia="方正仿宋简体" w:cs="宋体"/>
          <w:kern w:val="0"/>
          <w:sz w:val="24"/>
        </w:rPr>
        <w:t>2</w:t>
      </w:r>
      <w:r>
        <w:rPr>
          <w:rFonts w:hint="eastAsia" w:ascii="方正仿宋简体" w:hAnsi="Calibri" w:eastAsia="方正仿宋简体" w:cs="宋体"/>
          <w:kern w:val="0"/>
          <w:sz w:val="24"/>
          <w:lang w:val="en-US" w:eastAsia="zh-CN"/>
        </w:rPr>
        <w:t>4</w:t>
      </w:r>
      <w:r>
        <w:rPr>
          <w:rFonts w:hint="eastAsia" w:ascii="方正仿宋简体" w:hAnsi="Calibri" w:eastAsia="方正仿宋简体" w:cs="宋体"/>
          <w:kern w:val="0"/>
          <w:sz w:val="24"/>
          <w:lang w:val="zh-CN"/>
        </w:rPr>
        <w:t>年12月。</w:t>
      </w:r>
    </w:p>
    <w:p w14:paraId="4DD7894F">
      <w:pPr>
        <w:adjustRightInd w:val="0"/>
        <w:snapToGrid w:val="0"/>
        <w:spacing w:line="300" w:lineRule="auto"/>
        <w:ind w:firstLine="480" w:firstLineChars="200"/>
        <w:outlineLvl w:val="2"/>
        <w:rPr>
          <w:rFonts w:ascii="方正仿宋简体" w:hAnsi="Calibri" w:eastAsia="方正仿宋简体" w:cs="宋体"/>
          <w:kern w:val="0"/>
          <w:sz w:val="24"/>
          <w:lang w:val="zh-CN"/>
        </w:rPr>
      </w:pPr>
      <w:bookmarkStart w:id="13" w:name="_Toc2397"/>
      <w:r>
        <w:rPr>
          <w:rFonts w:hint="eastAsia" w:ascii="方正仿宋简体" w:hAnsi="Calibri" w:eastAsia="方正仿宋简体" w:cs="宋体"/>
          <w:kern w:val="0"/>
          <w:sz w:val="24"/>
          <w:lang w:val="zh-CN"/>
        </w:rPr>
        <w:t>e）报告数据说明</w:t>
      </w:r>
      <w:bookmarkEnd w:id="13"/>
    </w:p>
    <w:p w14:paraId="578A27E8">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本报告公布了基本的企业信用信息数据项，包括基本信息、经营管理信息、财务信息、产品质量信息、提示信息和其他信息。这些均来自于对企业相关记录的整理、收集和分析。因此信息质量可靠，经得起审核验证。</w:t>
      </w:r>
    </w:p>
    <w:p w14:paraId="35C8765A">
      <w:pPr>
        <w:adjustRightInd w:val="0"/>
        <w:snapToGrid w:val="0"/>
        <w:spacing w:line="300" w:lineRule="auto"/>
        <w:ind w:firstLine="480" w:firstLineChars="200"/>
        <w:outlineLvl w:val="2"/>
        <w:rPr>
          <w:rFonts w:ascii="方正仿宋简体" w:hAnsi="Calibri" w:eastAsia="方正仿宋简体" w:cs="宋体"/>
          <w:kern w:val="0"/>
          <w:sz w:val="24"/>
          <w:lang w:val="zh-CN"/>
        </w:rPr>
      </w:pPr>
      <w:bookmarkStart w:id="14" w:name="_Toc12459"/>
      <w:r>
        <w:rPr>
          <w:rFonts w:hint="eastAsia" w:ascii="方正仿宋简体" w:hAnsi="Calibri" w:eastAsia="方正仿宋简体" w:cs="宋体"/>
          <w:kern w:val="0"/>
          <w:sz w:val="24"/>
          <w:lang w:val="zh-CN"/>
        </w:rPr>
        <w:t>f）报告获取方式</w:t>
      </w:r>
      <w:bookmarkEnd w:id="14"/>
    </w:p>
    <w:p w14:paraId="75C77BF1">
      <w:pPr>
        <w:adjustRightInd w:val="0"/>
        <w:snapToGrid w:val="0"/>
        <w:spacing w:line="300" w:lineRule="auto"/>
        <w:ind w:firstLine="480" w:firstLineChars="200"/>
        <w:rPr>
          <w:rFonts w:ascii="方正仿宋简体" w:hAnsi="Calibri" w:eastAsia="方正仿宋简体" w:cs="宋体"/>
          <w:kern w:val="0"/>
          <w:sz w:val="32"/>
          <w:szCs w:val="32"/>
          <w:lang w:val="zh-CN"/>
        </w:rPr>
      </w:pPr>
      <w:r>
        <w:rPr>
          <w:rFonts w:hint="eastAsia" w:ascii="方正仿宋简体" w:hAnsi="Calibri" w:eastAsia="方正仿宋简体" w:cs="宋体"/>
          <w:kern w:val="0"/>
          <w:sz w:val="24"/>
          <w:lang w:val="zh-CN"/>
        </w:rPr>
        <w:t>供应商、监管部门等各类利益和责任相关方，可以通过官网或客服等形式联系本公司获取书面形式的报告。</w:t>
      </w:r>
    </w:p>
    <w:p w14:paraId="7E807677">
      <w:pPr>
        <w:pStyle w:val="30"/>
        <w:adjustRightInd w:val="0"/>
        <w:snapToGrid w:val="0"/>
        <w:spacing w:line="300" w:lineRule="auto"/>
        <w:rPr>
          <w:rFonts w:ascii="方正楷体简体" w:eastAsia="方正楷体简体"/>
          <w:sz w:val="28"/>
          <w:szCs w:val="28"/>
        </w:rPr>
      </w:pPr>
      <w:bookmarkStart w:id="15" w:name="_Toc12557"/>
      <w:bookmarkStart w:id="16" w:name="_Toc498627593"/>
      <w:r>
        <w:rPr>
          <w:rFonts w:hint="eastAsia" w:ascii="方正楷体简体" w:eastAsia="方正楷体简体"/>
          <w:sz w:val="28"/>
          <w:szCs w:val="28"/>
        </w:rPr>
        <w:t>1.2 企业简介</w:t>
      </w:r>
      <w:bookmarkEnd w:id="15"/>
      <w:bookmarkEnd w:id="16"/>
      <w:bookmarkStart w:id="17" w:name="_Toc498627594"/>
    </w:p>
    <w:p w14:paraId="2FBF924F">
      <w:pPr>
        <w:adjustRightInd w:val="0"/>
        <w:snapToGrid w:val="0"/>
        <w:spacing w:line="300" w:lineRule="auto"/>
        <w:ind w:firstLine="480" w:firstLineChars="200"/>
        <w:rPr>
          <w:rFonts w:ascii="方正仿宋简体" w:hAnsi="Calibri" w:eastAsia="方正仿宋简体" w:cs="宋体"/>
          <w:kern w:val="0"/>
          <w:sz w:val="24"/>
          <w:lang w:val="zh-CN"/>
        </w:rPr>
      </w:pPr>
      <w:bookmarkStart w:id="18" w:name="_Toc19956"/>
      <w:r>
        <w:rPr>
          <w:rFonts w:hint="eastAsia" w:ascii="方正仿宋简体" w:hAnsi="Calibri" w:eastAsia="方正仿宋简体" w:cs="宋体"/>
          <w:kern w:val="0"/>
          <w:sz w:val="24"/>
          <w:lang w:val="zh-CN"/>
        </w:rPr>
        <w:t>浙江弗</w:t>
      </w:r>
      <w:bookmarkEnd w:id="18"/>
      <w:bookmarkStart w:id="19" w:name="_Toc5056"/>
      <w:r>
        <w:rPr>
          <w:rFonts w:hint="eastAsia" w:ascii="方正仿宋简体" w:hAnsi="Calibri" w:eastAsia="方正仿宋简体" w:cs="宋体"/>
          <w:kern w:val="0"/>
          <w:sz w:val="24"/>
          <w:lang w:val="zh-CN"/>
        </w:rPr>
        <w:t>浙江弗尔德驱动科技有限公司（简称“弗尔德”）是一家集研发、设计、生产、销售及售后服务于一体的永磁同步曳引机制造企业。2015年6月，公司与欧洲顶尖的曳引机公司强强联手，形成技术资源共享的战略合作伙伴关系。公司秉承“追求卓越，精益求精”的企业精神，坚持“高起点、高品质”的发展思路。公司近年以40%左右的年增长率快速发展，近三年销售收入分别为</w:t>
      </w:r>
      <w:r>
        <w:rPr>
          <w:rFonts w:hint="eastAsia" w:ascii="方正仿宋简体" w:hAnsi="Calibri" w:eastAsia="方正仿宋简体" w:cs="宋体"/>
          <w:kern w:val="0"/>
          <w:sz w:val="24"/>
          <w:lang w:val="en-US" w:eastAsia="zh-CN"/>
        </w:rPr>
        <w:t>2.4</w:t>
      </w:r>
      <w:r>
        <w:rPr>
          <w:rFonts w:hint="eastAsia" w:ascii="方正仿宋简体" w:hAnsi="Calibri" w:eastAsia="方正仿宋简体" w:cs="宋体"/>
          <w:kern w:val="0"/>
          <w:sz w:val="24"/>
          <w:lang w:val="zh-CN"/>
        </w:rPr>
        <w:t>亿、</w:t>
      </w:r>
      <w:r>
        <w:rPr>
          <w:rFonts w:hint="eastAsia" w:ascii="方正仿宋简体" w:hAnsi="Calibri" w:eastAsia="方正仿宋简体" w:cs="宋体"/>
          <w:kern w:val="0"/>
          <w:sz w:val="24"/>
          <w:lang w:val="en-US" w:eastAsia="zh-CN"/>
        </w:rPr>
        <w:t>4.2</w:t>
      </w:r>
      <w:r>
        <w:rPr>
          <w:rFonts w:hint="eastAsia" w:ascii="方正仿宋简体" w:hAnsi="Calibri" w:eastAsia="方正仿宋简体" w:cs="宋体"/>
          <w:kern w:val="0"/>
          <w:sz w:val="24"/>
          <w:lang w:val="zh-CN"/>
        </w:rPr>
        <w:t>亿、4.</w:t>
      </w:r>
      <w:r>
        <w:rPr>
          <w:rFonts w:hint="eastAsia" w:ascii="方正仿宋简体" w:hAnsi="Calibri" w:eastAsia="方正仿宋简体" w:cs="宋体"/>
          <w:kern w:val="0"/>
          <w:sz w:val="24"/>
          <w:lang w:val="en-US" w:eastAsia="zh-CN"/>
        </w:rPr>
        <w:t>4</w:t>
      </w:r>
      <w:r>
        <w:rPr>
          <w:rFonts w:hint="eastAsia" w:ascii="方正仿宋简体" w:hAnsi="Calibri" w:eastAsia="方正仿宋简体" w:cs="宋体"/>
          <w:kern w:val="0"/>
          <w:sz w:val="24"/>
          <w:lang w:val="zh-CN"/>
        </w:rPr>
        <w:t>亿。</w:t>
      </w:r>
    </w:p>
    <w:p w14:paraId="6B38415D">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目前厂区总建筑面积3万多平方米，拥有金工车间、装配车间和电工车间，拥有省级产品实验中心。车间内实施5S现场管理和目视化看板管理，整洁有序，做到了“可参观工厂”的标准。公司拥有一支专业的人才队伍，目前共有职工</w:t>
      </w:r>
      <w:r>
        <w:rPr>
          <w:rFonts w:hint="eastAsia" w:ascii="方正仿宋简体" w:hAnsi="Calibri" w:eastAsia="方正仿宋简体" w:cs="宋体"/>
          <w:kern w:val="0"/>
          <w:sz w:val="24"/>
          <w:lang w:val="en-US" w:eastAsia="zh-CN"/>
        </w:rPr>
        <w:t>421</w:t>
      </w:r>
      <w:r>
        <w:rPr>
          <w:rFonts w:hint="eastAsia" w:ascii="方正仿宋简体" w:hAnsi="Calibri" w:eastAsia="方正仿宋简体" w:cs="宋体"/>
          <w:kern w:val="0"/>
          <w:sz w:val="24"/>
          <w:lang w:val="zh-CN"/>
        </w:rPr>
        <w:t>人，其中本科近50人，大专68人，技术人员5</w:t>
      </w:r>
      <w:r>
        <w:rPr>
          <w:rFonts w:hint="eastAsia" w:ascii="方正仿宋简体" w:hAnsi="Calibri" w:eastAsia="方正仿宋简体" w:cs="宋体"/>
          <w:kern w:val="0"/>
          <w:sz w:val="24"/>
          <w:lang w:val="en-US" w:eastAsia="zh-CN"/>
        </w:rPr>
        <w:t>2</w:t>
      </w:r>
      <w:r>
        <w:rPr>
          <w:rFonts w:hint="eastAsia" w:ascii="方正仿宋简体" w:hAnsi="Calibri" w:eastAsia="方正仿宋简体" w:cs="宋体"/>
          <w:kern w:val="0"/>
          <w:sz w:val="24"/>
          <w:lang w:val="zh-CN"/>
        </w:rPr>
        <w:t>人。</w:t>
      </w:r>
    </w:p>
    <w:p w14:paraId="72F5D364">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公司拥有全系列覆盖的曳引机产品，涵盖“高速梯、医用梯、特殊环境下使用的高防护梯、货梯、小机房、无机房、家用梯、钢带主机”等8大系列产品，覆盖载重320kg-4000kg、速度0.4m/s-12m/s，可满足整梯厂所有要求。公司凭借领先的精细制造水平，公司与蒂升电梯（上海）有限公司、沃克斯迅达电梯、恒达富士电梯、怡达快速电梯、巨人通力电梯、江南嘉捷电梯、德奥电梯、奥立达电梯等品牌建立长期合作关系。</w:t>
      </w:r>
      <w:bookmarkStart w:id="101" w:name="_GoBack"/>
      <w:bookmarkEnd w:id="101"/>
    </w:p>
    <w:p w14:paraId="181EA687">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公司建有面积约1100平方米的研发中心和500平方的试验中心，试验中心可完成电机噪音、振动、温升等级、过载转矩、制动力矩等测试以及电机能效的自主测定。近三年，每年投入研发费用占比达4%以上，共完成新产品开发20余项，改进优化200多项。公司与浙江浙江理工大学、南京理工大学、湖州师范学院等建立产学研合作关系。产品采用创新结构设计，具有“体积小、重量轻、安装维护方便、振动小、噪声低、防护等级高、制动器免于维护”等特点，使客户现场使用更加“安全、舒适、节能、环保”，获得了电梯行业的广泛认可，被许多电梯厂家用于高端电梯配套使用，因产品噪音低、温升小、运行平稳，赢得了客户的一致好评，在电梯行业口碑良好。</w:t>
      </w:r>
    </w:p>
    <w:p w14:paraId="6F97D81B">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2021年，公司两个系列永磁同步电机入选工信部“能效之星”目录。公司有3款产品被认定为省级新产品，1款产品被认定为省级“绿色设计产品”。截至目前，公司拥有授权国家专利108项，其中发明专利9项，实用新型专利81项，外观专利18项，另取得软件著作权1项。公司参与了《别墅电梯用曳引机》行业标准和《重型曳引驱动载货电梯》浙江制造品字标标准的制定。2020年，公司参与编写《南浔区电梯产业标准化与质量发展白皮书》。</w:t>
      </w:r>
    </w:p>
    <w:p w14:paraId="118FCFE5">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公司先后被评为国家科技型企业、浙江省“专精特新”企业、浙江省专精特新中小企业、浙江省AAA守合同重信用企业、2021年公司获得南浔区政府质量奖。2023年弗尔德成功入选国家级“专精特新”小巨人企业、省级科技小巨人。是南浔区新象新牛培育企业、南浔区规模百强工业企业，多年来凭借雄厚的的技术实力，优质成熟的产品，完善的服务体系，取得了迅猛的发展。</w:t>
      </w:r>
    </w:p>
    <w:p w14:paraId="3D6D73B2">
      <w:pPr>
        <w:adjustRightInd w:val="0"/>
        <w:snapToGrid w:val="0"/>
        <w:spacing w:line="300" w:lineRule="auto"/>
        <w:ind w:firstLine="480" w:firstLineChars="200"/>
        <w:rPr>
          <w:rFonts w:ascii="方正仿宋简体" w:hAnsi="Calibri" w:eastAsia="方正仿宋简体" w:cs="宋体"/>
          <w:kern w:val="0"/>
          <w:sz w:val="24"/>
          <w:lang w:val="zh-CN"/>
        </w:rPr>
      </w:pPr>
    </w:p>
    <w:p w14:paraId="63ED374A">
      <w:pPr>
        <w:adjustRightInd w:val="0"/>
        <w:snapToGrid w:val="0"/>
        <w:spacing w:line="300" w:lineRule="auto"/>
        <w:ind w:firstLine="480" w:firstLineChars="200"/>
        <w:rPr>
          <w:rFonts w:ascii="方正仿宋简体" w:hAnsi="Calibri" w:eastAsia="方正仿宋简体" w:cs="宋体"/>
          <w:kern w:val="0"/>
          <w:sz w:val="24"/>
          <w:lang w:val="zh-CN"/>
        </w:rPr>
      </w:pPr>
    </w:p>
    <w:p w14:paraId="5E5E9A72">
      <w:pPr>
        <w:adjustRightInd w:val="0"/>
        <w:snapToGrid w:val="0"/>
        <w:spacing w:line="300" w:lineRule="auto"/>
        <w:ind w:firstLine="480" w:firstLineChars="200"/>
        <w:rPr>
          <w:rFonts w:ascii="方正仿宋简体" w:hAnsi="Calibri" w:eastAsia="方正仿宋简体" w:cs="宋体"/>
          <w:kern w:val="0"/>
          <w:sz w:val="24"/>
          <w:lang w:val="zh-CN"/>
        </w:rPr>
      </w:pPr>
    </w:p>
    <w:p w14:paraId="129C563B">
      <w:pPr>
        <w:adjustRightInd w:val="0"/>
        <w:snapToGrid w:val="0"/>
        <w:spacing w:line="300" w:lineRule="auto"/>
        <w:ind w:firstLine="480" w:firstLineChars="200"/>
        <w:rPr>
          <w:rFonts w:ascii="方正仿宋简体" w:hAnsi="Calibri" w:eastAsia="方正仿宋简体" w:cs="宋体"/>
          <w:kern w:val="0"/>
          <w:sz w:val="24"/>
          <w:lang w:val="zh-CN"/>
        </w:rPr>
      </w:pPr>
    </w:p>
    <w:p w14:paraId="5856FF43">
      <w:pPr>
        <w:adjustRightInd w:val="0"/>
        <w:snapToGrid w:val="0"/>
        <w:spacing w:line="300" w:lineRule="auto"/>
        <w:ind w:firstLine="480" w:firstLineChars="200"/>
        <w:rPr>
          <w:rFonts w:ascii="方正仿宋简体" w:hAnsi="Calibri" w:eastAsia="方正仿宋简体" w:cs="宋体"/>
          <w:kern w:val="0"/>
          <w:sz w:val="24"/>
          <w:lang w:val="zh-CN"/>
        </w:rPr>
      </w:pPr>
    </w:p>
    <w:p w14:paraId="00756034">
      <w:pPr>
        <w:adjustRightInd w:val="0"/>
        <w:snapToGrid w:val="0"/>
        <w:spacing w:line="300" w:lineRule="auto"/>
        <w:ind w:firstLine="480" w:firstLineChars="200"/>
        <w:rPr>
          <w:rFonts w:ascii="方正仿宋简体" w:hAnsi="Calibri" w:eastAsia="方正仿宋简体" w:cs="宋体"/>
          <w:kern w:val="0"/>
          <w:sz w:val="24"/>
          <w:lang w:val="zh-CN"/>
        </w:rPr>
      </w:pPr>
    </w:p>
    <w:p w14:paraId="32C19557">
      <w:pPr>
        <w:adjustRightInd w:val="0"/>
        <w:snapToGrid w:val="0"/>
        <w:spacing w:line="300" w:lineRule="auto"/>
        <w:ind w:firstLine="480" w:firstLineChars="200"/>
        <w:rPr>
          <w:rFonts w:ascii="方正仿宋简体" w:hAnsi="Calibri" w:eastAsia="方正仿宋简体" w:cs="宋体"/>
          <w:kern w:val="0"/>
          <w:sz w:val="24"/>
          <w:lang w:val="zh-CN"/>
        </w:rPr>
      </w:pPr>
    </w:p>
    <w:p w14:paraId="66801DD3">
      <w:pPr>
        <w:adjustRightInd w:val="0"/>
        <w:snapToGrid w:val="0"/>
        <w:spacing w:line="300" w:lineRule="auto"/>
        <w:ind w:firstLine="480" w:firstLineChars="200"/>
        <w:rPr>
          <w:rFonts w:ascii="方正仿宋简体" w:hAnsi="Calibri" w:eastAsia="方正仿宋简体" w:cs="宋体"/>
          <w:kern w:val="0"/>
          <w:sz w:val="24"/>
          <w:lang w:val="zh-CN"/>
        </w:rPr>
      </w:pPr>
    </w:p>
    <w:p w14:paraId="139DCB71">
      <w:pPr>
        <w:adjustRightInd w:val="0"/>
        <w:snapToGrid w:val="0"/>
        <w:spacing w:line="300" w:lineRule="auto"/>
        <w:ind w:firstLine="480" w:firstLineChars="200"/>
        <w:rPr>
          <w:rFonts w:ascii="方正仿宋简体" w:hAnsi="Calibri" w:eastAsia="方正仿宋简体" w:cs="宋体"/>
          <w:kern w:val="0"/>
          <w:sz w:val="24"/>
          <w:lang w:val="zh-CN"/>
        </w:rPr>
      </w:pPr>
    </w:p>
    <w:p w14:paraId="2CD37156">
      <w:pPr>
        <w:adjustRightInd w:val="0"/>
        <w:snapToGrid w:val="0"/>
        <w:spacing w:line="300" w:lineRule="auto"/>
        <w:ind w:firstLine="480" w:firstLineChars="200"/>
        <w:rPr>
          <w:rFonts w:ascii="方正仿宋简体" w:hAnsi="Calibri" w:eastAsia="方正仿宋简体" w:cs="宋体"/>
          <w:kern w:val="0"/>
          <w:sz w:val="24"/>
          <w:lang w:val="zh-CN"/>
        </w:rPr>
      </w:pPr>
    </w:p>
    <w:p w14:paraId="1D3D6F42">
      <w:pPr>
        <w:adjustRightInd w:val="0"/>
        <w:snapToGrid w:val="0"/>
        <w:spacing w:line="300" w:lineRule="auto"/>
        <w:ind w:firstLine="480" w:firstLineChars="200"/>
        <w:rPr>
          <w:rFonts w:ascii="方正仿宋简体" w:hAnsi="Calibri" w:eastAsia="方正仿宋简体" w:cs="宋体"/>
          <w:kern w:val="0"/>
          <w:sz w:val="24"/>
          <w:lang w:val="zh-CN"/>
        </w:rPr>
      </w:pPr>
    </w:p>
    <w:p w14:paraId="3C7CE1A2">
      <w:pPr>
        <w:adjustRightInd w:val="0"/>
        <w:snapToGrid w:val="0"/>
        <w:spacing w:line="300" w:lineRule="auto"/>
        <w:ind w:firstLine="480" w:firstLineChars="200"/>
        <w:rPr>
          <w:rFonts w:ascii="方正仿宋简体" w:hAnsi="Calibri" w:eastAsia="方正仿宋简体" w:cs="宋体"/>
          <w:kern w:val="0"/>
          <w:sz w:val="24"/>
          <w:lang w:val="zh-CN"/>
        </w:rPr>
      </w:pPr>
    </w:p>
    <w:p w14:paraId="1CC2B4DE">
      <w:pPr>
        <w:adjustRightInd w:val="0"/>
        <w:snapToGrid w:val="0"/>
        <w:spacing w:line="300" w:lineRule="auto"/>
        <w:ind w:firstLine="480" w:firstLineChars="200"/>
        <w:rPr>
          <w:rFonts w:ascii="方正仿宋简体" w:hAnsi="Calibri" w:eastAsia="方正仿宋简体" w:cs="宋体"/>
          <w:kern w:val="0"/>
          <w:sz w:val="24"/>
          <w:lang w:val="zh-CN"/>
        </w:rPr>
      </w:pPr>
    </w:p>
    <w:p w14:paraId="4ED56995">
      <w:pPr>
        <w:adjustRightInd w:val="0"/>
        <w:snapToGrid w:val="0"/>
        <w:spacing w:line="300" w:lineRule="auto"/>
        <w:ind w:firstLine="480" w:firstLineChars="200"/>
        <w:rPr>
          <w:rFonts w:ascii="方正仿宋简体" w:hAnsi="Calibri" w:eastAsia="方正仿宋简体" w:cs="宋体"/>
          <w:kern w:val="0"/>
          <w:sz w:val="24"/>
          <w:lang w:val="zh-CN"/>
        </w:rPr>
      </w:pPr>
    </w:p>
    <w:p w14:paraId="1F123D7F">
      <w:pPr>
        <w:adjustRightInd w:val="0"/>
        <w:snapToGrid w:val="0"/>
        <w:spacing w:line="300" w:lineRule="auto"/>
        <w:ind w:firstLine="480" w:firstLineChars="200"/>
        <w:rPr>
          <w:rFonts w:ascii="方正仿宋简体" w:hAnsi="Calibri" w:eastAsia="方正仿宋简体" w:cs="宋体"/>
          <w:kern w:val="0"/>
          <w:sz w:val="24"/>
          <w:lang w:val="zh-CN"/>
        </w:rPr>
      </w:pPr>
    </w:p>
    <w:bookmarkEnd w:id="17"/>
    <w:bookmarkEnd w:id="19"/>
    <w:p w14:paraId="43F22BA1">
      <w:pPr>
        <w:pStyle w:val="30"/>
        <w:adjustRightInd w:val="0"/>
        <w:snapToGrid w:val="0"/>
        <w:spacing w:before="312" w:beforeLines="100" w:after="312" w:afterLines="100" w:line="300" w:lineRule="auto"/>
        <w:jc w:val="center"/>
        <w:outlineLvl w:val="0"/>
        <w:rPr>
          <w:rFonts w:ascii="方正楷体简体" w:eastAsia="方正楷体简体"/>
          <w:sz w:val="32"/>
          <w:szCs w:val="32"/>
        </w:rPr>
      </w:pPr>
      <w:bookmarkStart w:id="20" w:name="_Toc26877"/>
      <w:bookmarkStart w:id="21" w:name="_Toc498627595"/>
      <w:bookmarkStart w:id="22" w:name="_Toc408837545"/>
      <w:r>
        <w:rPr>
          <w:rFonts w:hint="eastAsia" w:ascii="方正楷体简体" w:eastAsia="方正楷体简体"/>
          <w:sz w:val="32"/>
          <w:szCs w:val="32"/>
        </w:rPr>
        <w:t>第二部分 报告正文</w:t>
      </w:r>
    </w:p>
    <w:p w14:paraId="771F3556">
      <w:pPr>
        <w:pStyle w:val="30"/>
        <w:adjustRightInd w:val="0"/>
        <w:snapToGrid w:val="0"/>
        <w:spacing w:line="300" w:lineRule="auto"/>
        <w:rPr>
          <w:rFonts w:ascii="方正楷体简体" w:eastAsia="方正楷体简体"/>
          <w:sz w:val="28"/>
          <w:szCs w:val="28"/>
        </w:rPr>
      </w:pPr>
      <w:r>
        <w:rPr>
          <w:rFonts w:hint="eastAsia" w:ascii="方正楷体简体" w:eastAsia="方正楷体简体"/>
          <w:sz w:val="28"/>
          <w:szCs w:val="28"/>
        </w:rPr>
        <w:t>2.1 企业质量理念</w:t>
      </w:r>
      <w:bookmarkEnd w:id="20"/>
      <w:bookmarkEnd w:id="21"/>
      <w:bookmarkEnd w:id="22"/>
    </w:p>
    <w:p w14:paraId="38E2C955">
      <w:pPr>
        <w:pStyle w:val="30"/>
        <w:adjustRightInd w:val="0"/>
        <w:snapToGrid w:val="0"/>
        <w:spacing w:after="156" w:afterLines="50" w:line="300" w:lineRule="auto"/>
        <w:outlineLvl w:val="9"/>
        <w:rPr>
          <w:rFonts w:ascii="方正仿宋简体" w:hAnsi="方正仿宋简体" w:eastAsia="方正仿宋简体" w:cs="方正仿宋简体"/>
          <w:b w:val="0"/>
          <w:bCs w:val="0"/>
          <w:lang w:val="zh-CN"/>
        </w:rPr>
      </w:pPr>
      <w:bookmarkStart w:id="23" w:name="_Toc17017"/>
      <w:bookmarkStart w:id="24" w:name="_Toc408837546"/>
      <w:bookmarkStart w:id="25" w:name="_Toc498627596"/>
      <w:r>
        <w:rPr>
          <w:rFonts w:hint="eastAsia" w:ascii="方正仿宋简体" w:hAnsi="方正仿宋简体" w:eastAsia="方正仿宋简体" w:cs="方正仿宋简体"/>
          <w:lang w:val="zh-CN"/>
        </w:rPr>
        <w:t>●</w:t>
      </w:r>
      <w:r>
        <w:rPr>
          <w:rFonts w:hint="eastAsia" w:ascii="方正仿宋简体" w:hAnsi="方正仿宋简体" w:eastAsia="方正仿宋简体" w:cs="方正仿宋简体"/>
          <w:b w:val="0"/>
          <w:bCs w:val="0"/>
          <w:lang w:val="zh-CN"/>
        </w:rPr>
        <w:t>使命：持续创新，为客户提供高质量曳引机产品与技术解决方案</w:t>
      </w:r>
      <w:bookmarkEnd w:id="23"/>
    </w:p>
    <w:p w14:paraId="6A203D17">
      <w:pPr>
        <w:pStyle w:val="30"/>
        <w:adjustRightInd w:val="0"/>
        <w:snapToGrid w:val="0"/>
        <w:spacing w:after="156" w:afterLines="50" w:line="300" w:lineRule="auto"/>
        <w:outlineLvl w:val="9"/>
        <w:rPr>
          <w:rFonts w:ascii="方正仿宋简体" w:hAnsi="方正仿宋简体" w:eastAsia="方正仿宋简体" w:cs="方正仿宋简体"/>
          <w:b w:val="0"/>
          <w:bCs w:val="0"/>
          <w:lang w:val="zh-CN"/>
        </w:rPr>
      </w:pPr>
      <w:bookmarkStart w:id="26" w:name="_Toc26652"/>
      <w:r>
        <w:rPr>
          <w:rFonts w:hint="eastAsia" w:ascii="方正仿宋简体" w:hAnsi="方正仿宋简体" w:eastAsia="方正仿宋简体" w:cs="方正仿宋简体"/>
          <w:b w:val="0"/>
          <w:bCs w:val="0"/>
          <w:lang w:val="zh-CN"/>
        </w:rPr>
        <w:t>弗尔德定位中高端市场，通过持续不断的科技创新投入，推动产品技术升级，引领行业发展，为配套客户提供高质量曳引机产品与技术解决方案。</w:t>
      </w:r>
      <w:bookmarkEnd w:id="26"/>
    </w:p>
    <w:p w14:paraId="044DA98F">
      <w:pPr>
        <w:pStyle w:val="30"/>
        <w:adjustRightInd w:val="0"/>
        <w:snapToGrid w:val="0"/>
        <w:spacing w:after="156" w:afterLines="50" w:line="300" w:lineRule="auto"/>
        <w:outlineLvl w:val="9"/>
        <w:rPr>
          <w:rFonts w:ascii="方正仿宋简体" w:hAnsi="方正仿宋简体" w:eastAsia="方正仿宋简体" w:cs="方正仿宋简体"/>
          <w:b w:val="0"/>
          <w:bCs w:val="0"/>
          <w:lang w:val="zh-CN"/>
        </w:rPr>
      </w:pPr>
      <w:bookmarkStart w:id="27" w:name="_Toc26595"/>
      <w:r>
        <w:rPr>
          <w:rFonts w:hint="eastAsia" w:ascii="方正仿宋简体" w:hAnsi="方正仿宋简体" w:eastAsia="方正仿宋简体" w:cs="方正仿宋简体"/>
          <w:b w:val="0"/>
          <w:bCs w:val="0"/>
          <w:lang w:val="zh-CN"/>
        </w:rPr>
        <w:t>●愿景：成为中国高端曳引机行业领先品牌</w:t>
      </w:r>
      <w:bookmarkEnd w:id="27"/>
    </w:p>
    <w:p w14:paraId="6A598AE8">
      <w:pPr>
        <w:pStyle w:val="30"/>
        <w:adjustRightInd w:val="0"/>
        <w:snapToGrid w:val="0"/>
        <w:spacing w:after="156" w:afterLines="50" w:line="300" w:lineRule="auto"/>
        <w:outlineLvl w:val="9"/>
        <w:rPr>
          <w:rFonts w:ascii="方正仿宋简体" w:hAnsi="方正仿宋简体" w:eastAsia="方正仿宋简体" w:cs="方正仿宋简体"/>
          <w:b w:val="0"/>
          <w:bCs w:val="0"/>
          <w:lang w:val="zh-CN"/>
        </w:rPr>
      </w:pPr>
      <w:bookmarkStart w:id="28" w:name="_Toc16812"/>
      <w:r>
        <w:rPr>
          <w:rFonts w:hint="eastAsia" w:ascii="方正仿宋简体" w:hAnsi="方正仿宋简体" w:eastAsia="方正仿宋简体" w:cs="方正仿宋简体"/>
          <w:b w:val="0"/>
          <w:bCs w:val="0"/>
          <w:lang w:val="zh-CN"/>
        </w:rPr>
        <w:t>通过技术沉淀和客户积累，在未来五到十年时间发展成高端曳引机市场的知名品牌，实现规模、技术、质量的领先，成为客户认可、同行尊敬的优秀品牌。</w:t>
      </w:r>
      <w:bookmarkEnd w:id="28"/>
    </w:p>
    <w:p w14:paraId="6935EAF7">
      <w:pPr>
        <w:pStyle w:val="30"/>
        <w:adjustRightInd w:val="0"/>
        <w:snapToGrid w:val="0"/>
        <w:spacing w:after="156" w:afterLines="50" w:line="300" w:lineRule="auto"/>
        <w:outlineLvl w:val="9"/>
        <w:rPr>
          <w:rFonts w:ascii="方正仿宋简体" w:hAnsi="方正仿宋简体" w:eastAsia="方正仿宋简体" w:cs="方正仿宋简体"/>
          <w:b w:val="0"/>
          <w:bCs w:val="0"/>
          <w:lang w:val="zh-CN"/>
        </w:rPr>
      </w:pPr>
      <w:bookmarkStart w:id="29" w:name="_Toc26473"/>
      <w:r>
        <w:rPr>
          <w:rFonts w:hint="eastAsia" w:ascii="方正仿宋简体" w:hAnsi="方正仿宋简体" w:eastAsia="方正仿宋简体" w:cs="方正仿宋简体"/>
          <w:b w:val="0"/>
          <w:bCs w:val="0"/>
          <w:lang w:val="zh-CN"/>
        </w:rPr>
        <w:t>●核心价值观：三精一新——精心、精准、精益、创新</w:t>
      </w:r>
      <w:bookmarkEnd w:id="29"/>
    </w:p>
    <w:p w14:paraId="22D58CEA">
      <w:pPr>
        <w:pStyle w:val="30"/>
        <w:adjustRightInd w:val="0"/>
        <w:snapToGrid w:val="0"/>
        <w:spacing w:after="156" w:afterLines="50" w:line="300" w:lineRule="auto"/>
        <w:outlineLvl w:val="9"/>
        <w:rPr>
          <w:rFonts w:ascii="方正仿宋简体" w:hAnsi="方正仿宋简体" w:eastAsia="方正仿宋简体" w:cs="方正仿宋简体"/>
          <w:b w:val="0"/>
          <w:bCs w:val="0"/>
          <w:lang w:val="zh-CN"/>
        </w:rPr>
      </w:pPr>
      <w:bookmarkStart w:id="30" w:name="_Toc24980"/>
      <w:r>
        <w:rPr>
          <w:rFonts w:hint="eastAsia" w:ascii="方正仿宋简体" w:hAnsi="方正仿宋简体" w:eastAsia="方正仿宋简体" w:cs="方正仿宋简体"/>
          <w:b w:val="0"/>
          <w:bCs w:val="0"/>
          <w:lang w:val="zh-CN"/>
        </w:rPr>
        <w:t>精心：尽最大努力做好本职工作，态度诚挚，敬业认真，倡导“奋斗者精神”。</w:t>
      </w:r>
      <w:bookmarkEnd w:id="30"/>
    </w:p>
    <w:p w14:paraId="038F31F6">
      <w:pPr>
        <w:pStyle w:val="30"/>
        <w:adjustRightInd w:val="0"/>
        <w:snapToGrid w:val="0"/>
        <w:spacing w:after="156" w:afterLines="50" w:line="300" w:lineRule="auto"/>
        <w:outlineLvl w:val="9"/>
        <w:rPr>
          <w:rFonts w:ascii="方正仿宋简体" w:hAnsi="方正仿宋简体" w:eastAsia="方正仿宋简体" w:cs="方正仿宋简体"/>
          <w:b w:val="0"/>
          <w:bCs w:val="0"/>
          <w:lang w:val="zh-CN"/>
        </w:rPr>
      </w:pPr>
      <w:bookmarkStart w:id="31" w:name="_Toc25305"/>
      <w:r>
        <w:rPr>
          <w:rFonts w:hint="eastAsia" w:ascii="方正仿宋简体" w:hAnsi="方正仿宋简体" w:eastAsia="方正仿宋简体" w:cs="方正仿宋简体"/>
          <w:b w:val="0"/>
          <w:bCs w:val="0"/>
          <w:lang w:val="zh-CN"/>
        </w:rPr>
        <w:t>精准：严谨细致，一丝不苟，体现在对工作细节的追求，不断推进精细化管理，提高工作质量和效率，输出好产品。</w:t>
      </w:r>
      <w:bookmarkEnd w:id="31"/>
    </w:p>
    <w:p w14:paraId="17CD8D71">
      <w:pPr>
        <w:pStyle w:val="30"/>
        <w:adjustRightInd w:val="0"/>
        <w:snapToGrid w:val="0"/>
        <w:spacing w:after="156" w:afterLines="50" w:line="300" w:lineRule="auto"/>
        <w:outlineLvl w:val="9"/>
        <w:rPr>
          <w:rFonts w:ascii="方正仿宋简体" w:hAnsi="方正仿宋简体" w:eastAsia="方正仿宋简体" w:cs="方正仿宋简体"/>
          <w:b w:val="0"/>
          <w:bCs w:val="0"/>
          <w:lang w:val="zh-CN"/>
        </w:rPr>
      </w:pPr>
      <w:bookmarkStart w:id="32" w:name="_Toc14828"/>
      <w:r>
        <w:rPr>
          <w:rFonts w:hint="eastAsia" w:ascii="方正仿宋简体" w:hAnsi="方正仿宋简体" w:eastAsia="方正仿宋简体" w:cs="方正仿宋简体"/>
          <w:b w:val="0"/>
          <w:bCs w:val="0"/>
          <w:lang w:val="zh-CN"/>
        </w:rPr>
        <w:t>精益：不断寻找最佳路径和改进机会，追求卓越，精益求精。</w:t>
      </w:r>
      <w:bookmarkEnd w:id="32"/>
    </w:p>
    <w:p w14:paraId="3E77E5B1">
      <w:pPr>
        <w:pStyle w:val="30"/>
        <w:adjustRightInd w:val="0"/>
        <w:snapToGrid w:val="0"/>
        <w:spacing w:after="156" w:afterLines="50" w:line="300" w:lineRule="auto"/>
        <w:outlineLvl w:val="9"/>
        <w:rPr>
          <w:rFonts w:ascii="方正仿宋简体" w:hAnsi="方正仿宋简体" w:eastAsia="方正仿宋简体" w:cs="方正仿宋简体"/>
          <w:b w:val="0"/>
          <w:bCs w:val="0"/>
          <w:lang w:val="zh-CN"/>
        </w:rPr>
      </w:pPr>
      <w:bookmarkStart w:id="33" w:name="_Toc25981"/>
      <w:r>
        <w:rPr>
          <w:rFonts w:hint="eastAsia" w:ascii="方正仿宋简体" w:hAnsi="方正仿宋简体" w:eastAsia="方正仿宋简体" w:cs="方正仿宋简体"/>
          <w:b w:val="0"/>
          <w:bCs w:val="0"/>
          <w:lang w:val="zh-CN"/>
        </w:rPr>
        <w:t>创新：保持持续创新的能力和热情，推动技术创新、管理创新。</w:t>
      </w:r>
      <w:bookmarkEnd w:id="33"/>
    </w:p>
    <w:p w14:paraId="6E3796E4">
      <w:pPr>
        <w:adjustRightInd w:val="0"/>
        <w:snapToGrid w:val="0"/>
        <w:spacing w:before="156" w:beforeLines="50" w:after="156" w:afterLines="50" w:line="300" w:lineRule="auto"/>
        <w:rPr>
          <w:rFonts w:ascii="方正仿宋简体" w:hAnsi="方正仿宋简体" w:eastAsia="方正仿宋简体" w:cs="方正仿宋简体"/>
          <w:sz w:val="24"/>
        </w:rPr>
      </w:pPr>
      <w:r>
        <w:rPr>
          <w:rFonts w:hint="eastAsia" w:ascii="方正仿宋简体" w:hAnsi="方正仿宋简体" w:eastAsia="方正仿宋简体" w:cs="方正仿宋简体"/>
          <w:kern w:val="0"/>
          <w:sz w:val="24"/>
          <w:lang w:val="zh-CN"/>
        </w:rPr>
        <w:t>●</w:t>
      </w:r>
      <w:r>
        <w:rPr>
          <w:rFonts w:hint="eastAsia" w:ascii="方正仿宋简体" w:hAnsi="方正仿宋简体" w:eastAsia="方正仿宋简体" w:cs="方正仿宋简体"/>
          <w:sz w:val="24"/>
        </w:rPr>
        <w:t>深入宣贯弗尔德企业文化</w:t>
      </w:r>
    </w:p>
    <w:p w14:paraId="48B7323A">
      <w:pPr>
        <w:adjustRightInd w:val="0"/>
        <w:snapToGrid w:val="0"/>
        <w:spacing w:line="300" w:lineRule="auto"/>
        <w:ind w:firstLine="420"/>
        <w:rPr>
          <w:rFonts w:ascii="方正仿宋简体" w:hAnsi="方正仿宋简体" w:eastAsia="方正仿宋简体" w:cs="方正仿宋简体"/>
          <w:sz w:val="24"/>
        </w:rPr>
      </w:pPr>
      <w:r>
        <w:rPr>
          <w:rFonts w:hint="eastAsia" w:ascii="方正仿宋简体" w:hAnsi="方正仿宋简体" w:eastAsia="方正仿宋简体" w:cs="方正仿宋简体"/>
          <w:sz w:val="24"/>
        </w:rPr>
        <w:t>弗尔德以使命、愿景和核心价值观为核心理念，公司从理念层、制度层、行为层和物质层四个层面构建企业文化体系，并由人事行政部负责企业文化的推进工作，通过开展制度建设、文化活动、奖惩激励等引导弗尔德员工认同并遵循企业文化。</w:t>
      </w:r>
    </w:p>
    <w:p w14:paraId="2DA6D41D">
      <w:pPr>
        <w:adjustRightInd w:val="0"/>
        <w:snapToGrid w:val="0"/>
        <w:spacing w:line="300" w:lineRule="auto"/>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rPr>
        <w:drawing>
          <wp:inline distT="0" distB="0" distL="114300" distR="114300">
            <wp:extent cx="5579110" cy="3185160"/>
            <wp:effectExtent l="0" t="0" r="2540" b="152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5579110" cy="3185160"/>
                    </a:xfrm>
                    <a:prstGeom prst="rect">
                      <a:avLst/>
                    </a:prstGeom>
                    <a:noFill/>
                    <a:ln>
                      <a:noFill/>
                    </a:ln>
                  </pic:spPr>
                </pic:pic>
              </a:graphicData>
            </a:graphic>
          </wp:inline>
        </w:drawing>
      </w:r>
    </w:p>
    <w:p w14:paraId="586CBC29">
      <w:pPr>
        <w:adjustRightInd w:val="0"/>
        <w:snapToGrid w:val="0"/>
        <w:spacing w:after="156" w:afterLines="50" w:line="300" w:lineRule="auto"/>
        <w:jc w:val="center"/>
        <w:rPr>
          <w:rFonts w:ascii="方正仿宋简体" w:hAnsi="Calibri" w:eastAsia="方正仿宋简体" w:cs="宋体"/>
          <w:bCs/>
          <w:kern w:val="0"/>
          <w:sz w:val="24"/>
          <w:lang w:val="zh-CN"/>
        </w:rPr>
      </w:pPr>
      <w:r>
        <w:rPr>
          <w:rFonts w:hint="eastAsia" w:ascii="方正仿宋简体" w:hAnsi="方正仿宋简体" w:eastAsia="方正仿宋简体" w:cs="方正仿宋简体"/>
          <w:bCs/>
          <w:kern w:val="0"/>
          <w:sz w:val="24"/>
        </w:rPr>
        <w:t>弗尔德企业文化体系图</w:t>
      </w:r>
    </w:p>
    <w:p w14:paraId="0015AC9A">
      <w:pPr>
        <w:pStyle w:val="30"/>
        <w:adjustRightInd w:val="0"/>
        <w:snapToGrid w:val="0"/>
        <w:spacing w:after="156" w:afterLines="50" w:line="300" w:lineRule="auto"/>
        <w:rPr>
          <w:rFonts w:ascii="方正楷体简体" w:eastAsia="方正楷体简体"/>
          <w:sz w:val="28"/>
          <w:szCs w:val="28"/>
        </w:rPr>
      </w:pPr>
      <w:bookmarkStart w:id="34" w:name="_Toc19482"/>
      <w:r>
        <w:rPr>
          <w:rFonts w:hint="eastAsia" w:ascii="方正楷体简体" w:eastAsia="方正楷体简体"/>
          <w:sz w:val="28"/>
          <w:szCs w:val="28"/>
        </w:rPr>
        <w:t>2.2 企业质量管理</w:t>
      </w:r>
      <w:bookmarkEnd w:id="24"/>
      <w:bookmarkEnd w:id="25"/>
      <w:bookmarkEnd w:id="34"/>
    </w:p>
    <w:p w14:paraId="69688EC9">
      <w:pPr>
        <w:pStyle w:val="30"/>
        <w:adjustRightInd w:val="0"/>
        <w:snapToGrid w:val="0"/>
        <w:spacing w:after="156" w:afterLines="50" w:line="300" w:lineRule="auto"/>
        <w:outlineLvl w:val="3"/>
        <w:rPr>
          <w:rFonts w:ascii="方正楷体简体" w:eastAsia="方正楷体简体"/>
          <w:sz w:val="28"/>
          <w:szCs w:val="28"/>
        </w:rPr>
      </w:pPr>
      <w:bookmarkStart w:id="35" w:name="_Toc10569"/>
      <w:r>
        <w:rPr>
          <w:rFonts w:hint="eastAsia" w:ascii="方正楷体简体" w:eastAsia="方正楷体简体"/>
          <w:sz w:val="28"/>
          <w:szCs w:val="28"/>
        </w:rPr>
        <w:t>2.2.1 组织架构图:</w:t>
      </w:r>
      <w:bookmarkEnd w:id="35"/>
    </w:p>
    <w:p w14:paraId="4822EEF6">
      <w:pPr>
        <w:pStyle w:val="30"/>
        <w:adjustRightInd w:val="0"/>
        <w:snapToGrid w:val="0"/>
        <w:spacing w:after="156" w:afterLines="50" w:line="300" w:lineRule="auto"/>
        <w:outlineLvl w:val="9"/>
        <w:rPr>
          <w:rFonts w:ascii="Times New Roman"/>
          <w:szCs w:val="32"/>
        </w:rPr>
      </w:pPr>
      <w:r>
        <w:rPr>
          <w:rFonts w:ascii="Times New Roman"/>
          <w:szCs w:val="32"/>
        </w:rPr>
        <w:drawing>
          <wp:inline distT="0" distB="0" distL="0" distR="0">
            <wp:extent cx="5687695" cy="2695575"/>
            <wp:effectExtent l="0" t="0" r="8255" b="9525"/>
            <wp:docPr id="1" name="图片 1" descr="E:\新建文件夹 (3)\WeChat Files\I2707888\FileStorage\Temp\4a0c6b4024752f6bf49df3037fec7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新建文件夹 (3)\WeChat Files\I2707888\FileStorage\Temp\4a0c6b4024752f6bf49df3037fec70d.pn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5687695" cy="2695700"/>
                    </a:xfrm>
                    <a:prstGeom prst="rect">
                      <a:avLst/>
                    </a:prstGeom>
                    <a:noFill/>
                    <a:ln>
                      <a:noFill/>
                    </a:ln>
                  </pic:spPr>
                </pic:pic>
              </a:graphicData>
            </a:graphic>
          </wp:inline>
        </w:drawing>
      </w:r>
    </w:p>
    <w:p w14:paraId="068B5D5D">
      <w:pPr>
        <w:pStyle w:val="30"/>
        <w:adjustRightInd w:val="0"/>
        <w:snapToGrid w:val="0"/>
        <w:spacing w:after="156" w:afterLines="50" w:line="300" w:lineRule="auto"/>
        <w:outlineLvl w:val="3"/>
        <w:rPr>
          <w:rFonts w:ascii="方正楷体简体" w:eastAsia="方正楷体简体"/>
          <w:sz w:val="28"/>
          <w:szCs w:val="28"/>
        </w:rPr>
      </w:pPr>
      <w:bookmarkStart w:id="36" w:name="_Toc20007"/>
      <w:r>
        <w:rPr>
          <w:rFonts w:hint="eastAsia" w:ascii="方正楷体简体" w:eastAsia="方正楷体简体"/>
          <w:sz w:val="28"/>
          <w:szCs w:val="28"/>
        </w:rPr>
        <w:t>2.2.2 管理者代表</w:t>
      </w:r>
      <w:bookmarkEnd w:id="36"/>
    </w:p>
    <w:p w14:paraId="5479AD66">
      <w:pPr>
        <w:pStyle w:val="30"/>
        <w:adjustRightInd w:val="0"/>
        <w:snapToGrid w:val="0"/>
        <w:spacing w:after="156" w:afterLines="50" w:line="300" w:lineRule="auto"/>
        <w:ind w:firstLine="480" w:firstLineChars="200"/>
        <w:outlineLvl w:val="9"/>
        <w:rPr>
          <w:rFonts w:ascii="方正楷体简体" w:eastAsia="方正楷体简体"/>
          <w:b w:val="0"/>
          <w:bCs w:val="0"/>
        </w:rPr>
      </w:pPr>
      <w:bookmarkStart w:id="37" w:name="_Toc26592"/>
      <w:r>
        <w:rPr>
          <w:rFonts w:hint="eastAsia" w:ascii="方正楷体简体" w:eastAsia="方正楷体简体"/>
          <w:b w:val="0"/>
          <w:bCs w:val="0"/>
        </w:rPr>
        <w:t>经公司最高管理者任命、并授权管理者代表在质量管理体系方面指挥和控制系统。负责推动公司质量方针、目标、战略的具体实施、评价和改进。具体职责包括：</w:t>
      </w:r>
      <w:bookmarkEnd w:id="37"/>
    </w:p>
    <w:p w14:paraId="36A3C45B">
      <w:pPr>
        <w:pStyle w:val="30"/>
        <w:adjustRightInd w:val="0"/>
        <w:snapToGrid w:val="0"/>
        <w:spacing w:after="156" w:afterLines="50" w:line="300" w:lineRule="auto"/>
        <w:ind w:firstLine="480" w:firstLineChars="200"/>
        <w:outlineLvl w:val="9"/>
        <w:rPr>
          <w:rFonts w:ascii="方正楷体简体" w:eastAsia="方正楷体简体"/>
          <w:b w:val="0"/>
          <w:bCs w:val="0"/>
        </w:rPr>
      </w:pPr>
      <w:bookmarkStart w:id="38" w:name="_Toc23781"/>
      <w:r>
        <w:rPr>
          <w:rFonts w:hint="eastAsia" w:ascii="微软雅黑" w:hAnsi="微软雅黑" w:eastAsia="微软雅黑" w:cs="微软雅黑"/>
          <w:b w:val="0"/>
          <w:bCs w:val="0"/>
        </w:rPr>
        <w:t>●</w:t>
      </w:r>
      <w:r>
        <w:rPr>
          <w:rFonts w:hint="eastAsia" w:ascii="方正楷体简体" w:eastAsia="方正楷体简体"/>
          <w:b w:val="0"/>
          <w:bCs w:val="0"/>
        </w:rPr>
        <w:t>按照ISO9001：2015标准，建设和完善公司质量管理体系，提升质量管理水平；</w:t>
      </w:r>
      <w:bookmarkEnd w:id="38"/>
    </w:p>
    <w:p w14:paraId="2A49CA38">
      <w:pPr>
        <w:pStyle w:val="30"/>
        <w:adjustRightInd w:val="0"/>
        <w:snapToGrid w:val="0"/>
        <w:spacing w:after="156" w:afterLines="50" w:line="300" w:lineRule="auto"/>
        <w:ind w:firstLine="480" w:firstLineChars="200"/>
        <w:outlineLvl w:val="9"/>
        <w:rPr>
          <w:rFonts w:ascii="方正楷体简体" w:eastAsia="方正楷体简体"/>
          <w:b w:val="0"/>
          <w:bCs w:val="0"/>
        </w:rPr>
      </w:pPr>
      <w:bookmarkStart w:id="39" w:name="_Toc28535"/>
      <w:r>
        <w:rPr>
          <w:rFonts w:hint="eastAsia" w:ascii="微软雅黑" w:hAnsi="微软雅黑" w:eastAsia="微软雅黑" w:cs="微软雅黑"/>
          <w:b w:val="0"/>
          <w:bCs w:val="0"/>
        </w:rPr>
        <w:t>●</w:t>
      </w:r>
      <w:r>
        <w:rPr>
          <w:rFonts w:hint="eastAsia" w:ascii="方正楷体简体" w:eastAsia="方正楷体简体"/>
          <w:b w:val="0"/>
          <w:bCs w:val="0"/>
        </w:rPr>
        <w:t>根据公司发展的战略需要，组织更改、修订和完善质量体系管理相关文件；</w:t>
      </w:r>
      <w:bookmarkEnd w:id="39"/>
    </w:p>
    <w:p w14:paraId="4DD69E74">
      <w:pPr>
        <w:pStyle w:val="30"/>
        <w:adjustRightInd w:val="0"/>
        <w:snapToGrid w:val="0"/>
        <w:spacing w:after="156" w:afterLines="50" w:line="300" w:lineRule="auto"/>
        <w:ind w:firstLine="480" w:firstLineChars="200"/>
        <w:outlineLvl w:val="9"/>
        <w:rPr>
          <w:rFonts w:ascii="方正楷体简体" w:eastAsia="方正楷体简体"/>
          <w:b w:val="0"/>
          <w:bCs w:val="0"/>
        </w:rPr>
      </w:pPr>
      <w:bookmarkStart w:id="40" w:name="_Toc31315"/>
      <w:r>
        <w:rPr>
          <w:rFonts w:hint="eastAsia" w:ascii="微软雅黑" w:hAnsi="微软雅黑" w:eastAsia="微软雅黑" w:cs="微软雅黑"/>
          <w:b w:val="0"/>
          <w:bCs w:val="0"/>
        </w:rPr>
        <w:t>●</w:t>
      </w:r>
      <w:r>
        <w:rPr>
          <w:rFonts w:hint="eastAsia" w:ascii="方正楷体简体" w:eastAsia="方正楷体简体"/>
          <w:b w:val="0"/>
          <w:bCs w:val="0"/>
        </w:rPr>
        <w:t>宣传、贯彻公司质量方针，对各单位质量管理体系运行情况进行监督、考核；</w:t>
      </w:r>
      <w:bookmarkEnd w:id="40"/>
    </w:p>
    <w:p w14:paraId="69EDE3F3">
      <w:pPr>
        <w:pStyle w:val="30"/>
        <w:adjustRightInd w:val="0"/>
        <w:snapToGrid w:val="0"/>
        <w:spacing w:after="156" w:afterLines="50" w:line="300" w:lineRule="auto"/>
        <w:ind w:firstLine="480" w:firstLineChars="200"/>
        <w:outlineLvl w:val="9"/>
        <w:rPr>
          <w:rFonts w:ascii="方正楷体简体" w:eastAsia="方正楷体简体"/>
          <w:b w:val="0"/>
          <w:bCs w:val="0"/>
        </w:rPr>
      </w:pPr>
      <w:bookmarkStart w:id="41" w:name="_Toc2999"/>
      <w:r>
        <w:rPr>
          <w:rFonts w:hint="eastAsia" w:ascii="微软雅黑" w:hAnsi="微软雅黑" w:eastAsia="微软雅黑" w:cs="微软雅黑"/>
          <w:b w:val="0"/>
          <w:bCs w:val="0"/>
        </w:rPr>
        <w:t>●</w:t>
      </w:r>
      <w:r>
        <w:rPr>
          <w:rFonts w:hint="eastAsia" w:ascii="方正楷体简体" w:eastAsia="方正楷体简体"/>
          <w:b w:val="0"/>
          <w:bCs w:val="0"/>
        </w:rPr>
        <w:t>督促业务部门质量改进计划实施和质量意识的提升，改善质量管理体系运行效果；</w:t>
      </w:r>
      <w:bookmarkEnd w:id="41"/>
    </w:p>
    <w:p w14:paraId="4471B80D">
      <w:pPr>
        <w:pStyle w:val="30"/>
        <w:adjustRightInd w:val="0"/>
        <w:snapToGrid w:val="0"/>
        <w:spacing w:after="156" w:afterLines="50" w:line="300" w:lineRule="auto"/>
        <w:ind w:firstLine="480" w:firstLineChars="200"/>
        <w:outlineLvl w:val="9"/>
        <w:rPr>
          <w:rFonts w:ascii="方正楷体简体" w:eastAsia="方正楷体简体"/>
          <w:b w:val="0"/>
          <w:bCs w:val="0"/>
        </w:rPr>
      </w:pPr>
      <w:bookmarkStart w:id="42" w:name="_Toc5265"/>
      <w:r>
        <w:rPr>
          <w:rFonts w:hint="eastAsia" w:ascii="微软雅黑" w:hAnsi="微软雅黑" w:eastAsia="微软雅黑" w:cs="微软雅黑"/>
          <w:b w:val="0"/>
          <w:bCs w:val="0"/>
        </w:rPr>
        <w:t>●</w:t>
      </w:r>
      <w:r>
        <w:rPr>
          <w:rFonts w:hint="eastAsia" w:ascii="方正楷体简体" w:eastAsia="方正楷体简体"/>
          <w:b w:val="0"/>
          <w:bCs w:val="0"/>
        </w:rPr>
        <w:t>代表公司就质量管理的有关事宜与外部联络和沟通；</w:t>
      </w:r>
      <w:bookmarkEnd w:id="42"/>
    </w:p>
    <w:p w14:paraId="037905EF">
      <w:pPr>
        <w:pStyle w:val="30"/>
        <w:adjustRightInd w:val="0"/>
        <w:snapToGrid w:val="0"/>
        <w:spacing w:after="156" w:afterLines="50" w:line="300" w:lineRule="auto"/>
        <w:ind w:firstLine="480" w:firstLineChars="200"/>
        <w:outlineLvl w:val="9"/>
        <w:rPr>
          <w:rFonts w:ascii="Times New Roman"/>
          <w:szCs w:val="32"/>
        </w:rPr>
      </w:pPr>
      <w:bookmarkStart w:id="43" w:name="_Toc2587"/>
      <w:r>
        <w:rPr>
          <w:rFonts w:hint="eastAsia" w:ascii="微软雅黑" w:hAnsi="微软雅黑" w:eastAsia="微软雅黑" w:cs="微软雅黑"/>
          <w:b w:val="0"/>
          <w:bCs w:val="0"/>
        </w:rPr>
        <w:t>●</w:t>
      </w:r>
      <w:r>
        <w:rPr>
          <w:rFonts w:hint="eastAsia" w:ascii="方正楷体简体" w:eastAsia="方正楷体简体"/>
          <w:b w:val="0"/>
          <w:bCs w:val="0"/>
        </w:rPr>
        <w:t>向公司汇报质量管理体系的业绩，包括改进的要求。</w:t>
      </w:r>
      <w:bookmarkEnd w:id="43"/>
    </w:p>
    <w:p w14:paraId="0838E785">
      <w:pPr>
        <w:pStyle w:val="30"/>
        <w:adjustRightInd w:val="0"/>
        <w:snapToGrid w:val="0"/>
        <w:spacing w:after="156" w:afterLines="50" w:line="300" w:lineRule="auto"/>
        <w:outlineLvl w:val="3"/>
        <w:rPr>
          <w:rFonts w:ascii="方正楷体简体" w:eastAsia="方正楷体简体"/>
          <w:sz w:val="28"/>
          <w:szCs w:val="28"/>
        </w:rPr>
      </w:pPr>
      <w:bookmarkStart w:id="44" w:name="_Toc25510"/>
      <w:r>
        <w:rPr>
          <w:rFonts w:hint="eastAsia" w:ascii="方正楷体简体" w:eastAsia="方正楷体简体"/>
          <w:sz w:val="28"/>
          <w:szCs w:val="28"/>
        </w:rPr>
        <w:t>2.2.3 质量部</w:t>
      </w:r>
      <w:bookmarkEnd w:id="44"/>
    </w:p>
    <w:p w14:paraId="191B2254">
      <w:pPr>
        <w:pStyle w:val="30"/>
        <w:adjustRightInd w:val="0"/>
        <w:snapToGrid w:val="0"/>
        <w:spacing w:after="156" w:afterLines="50" w:line="300" w:lineRule="auto"/>
        <w:outlineLvl w:val="9"/>
        <w:rPr>
          <w:rFonts w:ascii="方正楷体简体" w:eastAsia="方正楷体简体"/>
          <w:b w:val="0"/>
          <w:bCs w:val="0"/>
        </w:rPr>
      </w:pPr>
      <w:bookmarkStart w:id="45" w:name="_Toc10555"/>
      <w:r>
        <w:rPr>
          <w:rFonts w:hint="eastAsia" w:ascii="微软雅黑" w:hAnsi="微软雅黑" w:eastAsia="微软雅黑" w:cs="微软雅黑"/>
          <w:b w:val="0"/>
          <w:bCs w:val="0"/>
        </w:rPr>
        <w:t>●</w:t>
      </w:r>
      <w:r>
        <w:rPr>
          <w:rFonts w:hint="eastAsia" w:ascii="方正楷体简体" w:eastAsia="方正楷体简体"/>
          <w:b w:val="0"/>
          <w:bCs w:val="0"/>
        </w:rPr>
        <w:t>组织相关部门对质量方针、目标和质量管理体系的宣贯；</w:t>
      </w:r>
      <w:bookmarkEnd w:id="45"/>
    </w:p>
    <w:p w14:paraId="73737728">
      <w:pPr>
        <w:pStyle w:val="30"/>
        <w:adjustRightInd w:val="0"/>
        <w:snapToGrid w:val="0"/>
        <w:spacing w:after="156" w:afterLines="50" w:line="300" w:lineRule="auto"/>
        <w:outlineLvl w:val="9"/>
        <w:rPr>
          <w:rFonts w:ascii="方正楷体简体" w:eastAsia="方正楷体简体"/>
          <w:b w:val="0"/>
          <w:bCs w:val="0"/>
        </w:rPr>
      </w:pPr>
      <w:bookmarkStart w:id="46" w:name="_Toc8136"/>
      <w:r>
        <w:rPr>
          <w:rFonts w:hint="eastAsia" w:ascii="微软雅黑" w:hAnsi="微软雅黑" w:eastAsia="微软雅黑" w:cs="微软雅黑"/>
          <w:b w:val="0"/>
          <w:bCs w:val="0"/>
        </w:rPr>
        <w:t>●</w:t>
      </w:r>
      <w:r>
        <w:rPr>
          <w:rFonts w:hint="eastAsia" w:ascii="方正楷体简体" w:eastAsia="方正楷体简体"/>
          <w:b w:val="0"/>
          <w:bCs w:val="0"/>
        </w:rPr>
        <w:t>根据公司发展战略及质量目标，组织分解至各职能部门，并负责督导、协调各部门目标分解执行情况；</w:t>
      </w:r>
      <w:bookmarkEnd w:id="46"/>
    </w:p>
    <w:p w14:paraId="174005D3">
      <w:pPr>
        <w:pStyle w:val="30"/>
        <w:adjustRightInd w:val="0"/>
        <w:snapToGrid w:val="0"/>
        <w:spacing w:after="156" w:afterLines="50" w:line="300" w:lineRule="auto"/>
        <w:outlineLvl w:val="9"/>
        <w:rPr>
          <w:rFonts w:ascii="方正楷体简体" w:eastAsia="方正楷体简体"/>
          <w:b w:val="0"/>
          <w:bCs w:val="0"/>
        </w:rPr>
      </w:pPr>
      <w:bookmarkStart w:id="47" w:name="_Toc27758"/>
      <w:r>
        <w:rPr>
          <w:rFonts w:hint="eastAsia" w:ascii="微软雅黑" w:hAnsi="微软雅黑" w:eastAsia="微软雅黑" w:cs="微软雅黑"/>
          <w:b w:val="0"/>
          <w:bCs w:val="0"/>
        </w:rPr>
        <w:t>●</w:t>
      </w:r>
      <w:r>
        <w:rPr>
          <w:rFonts w:hint="eastAsia" w:ascii="方正楷体简体" w:eastAsia="方正楷体简体"/>
          <w:b w:val="0"/>
          <w:bCs w:val="0"/>
        </w:rPr>
        <w:t>协助管理者代表进行质量管理体系监视和测量的策划及持续改进的策划与跟进；</w:t>
      </w:r>
      <w:bookmarkEnd w:id="47"/>
    </w:p>
    <w:p w14:paraId="7AFA7A88">
      <w:pPr>
        <w:pStyle w:val="30"/>
        <w:adjustRightInd w:val="0"/>
        <w:snapToGrid w:val="0"/>
        <w:spacing w:after="156" w:afterLines="50" w:line="300" w:lineRule="auto"/>
        <w:outlineLvl w:val="9"/>
        <w:rPr>
          <w:rFonts w:ascii="方正楷体简体" w:eastAsia="方正楷体简体"/>
          <w:b w:val="0"/>
          <w:bCs w:val="0"/>
        </w:rPr>
      </w:pPr>
      <w:bookmarkStart w:id="48" w:name="_Toc8968"/>
      <w:r>
        <w:rPr>
          <w:rFonts w:hint="eastAsia" w:ascii="微软雅黑" w:hAnsi="微软雅黑" w:eastAsia="微软雅黑" w:cs="微软雅黑"/>
          <w:b w:val="0"/>
          <w:bCs w:val="0"/>
        </w:rPr>
        <w:t>●</w:t>
      </w:r>
      <w:r>
        <w:rPr>
          <w:rFonts w:hint="eastAsia" w:ascii="方正楷体简体" w:eastAsia="方正楷体简体"/>
          <w:b w:val="0"/>
          <w:bCs w:val="0"/>
        </w:rPr>
        <w:t>协助管理者代表组织内部质量体系审核，负责第三方审查的组织、协调、跟踪、验证等工作；</w:t>
      </w:r>
      <w:bookmarkEnd w:id="48"/>
    </w:p>
    <w:p w14:paraId="6D874F80">
      <w:pPr>
        <w:pStyle w:val="30"/>
        <w:adjustRightInd w:val="0"/>
        <w:snapToGrid w:val="0"/>
        <w:spacing w:after="156" w:afterLines="50" w:line="300" w:lineRule="auto"/>
        <w:outlineLvl w:val="9"/>
        <w:rPr>
          <w:rFonts w:ascii="方正楷体简体" w:eastAsia="方正楷体简体"/>
          <w:b w:val="0"/>
          <w:bCs w:val="0"/>
        </w:rPr>
      </w:pPr>
      <w:bookmarkStart w:id="49" w:name="_Toc24907"/>
      <w:r>
        <w:rPr>
          <w:rFonts w:hint="eastAsia" w:ascii="方正楷体简体" w:eastAsia="方正楷体简体"/>
          <w:b w:val="0"/>
          <w:bCs w:val="0"/>
        </w:rPr>
        <w:t>●协助做好管理评审准备工作和输出报告执行情况的跟踪验证；</w:t>
      </w:r>
      <w:bookmarkEnd w:id="49"/>
    </w:p>
    <w:p w14:paraId="381AA130">
      <w:pPr>
        <w:pStyle w:val="30"/>
        <w:adjustRightInd w:val="0"/>
        <w:snapToGrid w:val="0"/>
        <w:spacing w:after="156" w:afterLines="50" w:line="300" w:lineRule="auto"/>
        <w:outlineLvl w:val="9"/>
        <w:rPr>
          <w:rFonts w:ascii="方正楷体简体" w:eastAsia="方正楷体简体"/>
          <w:b w:val="0"/>
          <w:bCs w:val="0"/>
        </w:rPr>
      </w:pPr>
      <w:bookmarkStart w:id="50" w:name="_Toc6460"/>
      <w:r>
        <w:rPr>
          <w:rFonts w:hint="eastAsia" w:ascii="方正楷体简体" w:eastAsia="方正楷体简体"/>
          <w:b w:val="0"/>
          <w:bCs w:val="0"/>
        </w:rPr>
        <w:t>●负责质量管理体系文件、记录的归口管理；</w:t>
      </w:r>
      <w:bookmarkEnd w:id="50"/>
    </w:p>
    <w:p w14:paraId="7C4E4863">
      <w:pPr>
        <w:pStyle w:val="30"/>
        <w:adjustRightInd w:val="0"/>
        <w:snapToGrid w:val="0"/>
        <w:spacing w:after="156" w:afterLines="50" w:line="300" w:lineRule="auto"/>
        <w:outlineLvl w:val="9"/>
        <w:rPr>
          <w:rFonts w:ascii="方正楷体简体" w:eastAsia="方正楷体简体"/>
          <w:b w:val="0"/>
          <w:bCs w:val="0"/>
        </w:rPr>
      </w:pPr>
      <w:bookmarkStart w:id="51" w:name="_Toc3687"/>
      <w:r>
        <w:rPr>
          <w:rFonts w:hint="eastAsia" w:ascii="方正楷体简体" w:eastAsia="方正楷体简体"/>
          <w:b w:val="0"/>
          <w:bCs w:val="0"/>
        </w:rPr>
        <w:t>●制定质量管理制度，不断提高质量管理水平，推进质量改善活动；</w:t>
      </w:r>
      <w:bookmarkEnd w:id="51"/>
    </w:p>
    <w:p w14:paraId="67C0A019">
      <w:pPr>
        <w:pStyle w:val="30"/>
        <w:adjustRightInd w:val="0"/>
        <w:snapToGrid w:val="0"/>
        <w:spacing w:after="156" w:afterLines="50" w:line="300" w:lineRule="auto"/>
        <w:outlineLvl w:val="9"/>
        <w:rPr>
          <w:rFonts w:ascii="方正楷体简体" w:eastAsia="方正楷体简体"/>
          <w:b w:val="0"/>
          <w:bCs w:val="0"/>
        </w:rPr>
      </w:pPr>
      <w:bookmarkStart w:id="52" w:name="_Toc14432"/>
      <w:r>
        <w:rPr>
          <w:rFonts w:hint="eastAsia" w:ascii="方正楷体简体" w:eastAsia="方正楷体简体"/>
          <w:b w:val="0"/>
          <w:bCs w:val="0"/>
        </w:rPr>
        <w:t>●负责对各职能部门质量考核的落实、执行；</w:t>
      </w:r>
      <w:bookmarkEnd w:id="52"/>
    </w:p>
    <w:p w14:paraId="3A953ADA">
      <w:pPr>
        <w:pStyle w:val="30"/>
        <w:adjustRightInd w:val="0"/>
        <w:snapToGrid w:val="0"/>
        <w:spacing w:after="156" w:afterLines="50" w:line="300" w:lineRule="auto"/>
        <w:outlineLvl w:val="9"/>
        <w:rPr>
          <w:rFonts w:ascii="方正楷体简体" w:eastAsia="方正楷体简体"/>
          <w:b w:val="0"/>
          <w:bCs w:val="0"/>
        </w:rPr>
      </w:pPr>
      <w:bookmarkStart w:id="53" w:name="_Toc15549"/>
      <w:r>
        <w:rPr>
          <w:rFonts w:hint="eastAsia" w:ascii="方正楷体简体" w:eastAsia="方正楷体简体"/>
          <w:b w:val="0"/>
          <w:bCs w:val="0"/>
        </w:rPr>
        <w:t>●负责组织指导数据分析方法的应用并监督；</w:t>
      </w:r>
      <w:bookmarkEnd w:id="53"/>
    </w:p>
    <w:p w14:paraId="735324C1">
      <w:pPr>
        <w:pStyle w:val="30"/>
        <w:adjustRightInd w:val="0"/>
        <w:snapToGrid w:val="0"/>
        <w:spacing w:after="156" w:afterLines="50" w:line="300" w:lineRule="auto"/>
        <w:outlineLvl w:val="9"/>
        <w:rPr>
          <w:rFonts w:ascii="方正楷体简体" w:eastAsia="方正楷体简体"/>
          <w:b w:val="0"/>
          <w:bCs w:val="0"/>
        </w:rPr>
      </w:pPr>
      <w:bookmarkStart w:id="54" w:name="_Toc3261"/>
      <w:r>
        <w:rPr>
          <w:rFonts w:hint="eastAsia" w:ascii="方正楷体简体" w:eastAsia="方正楷体简体"/>
          <w:b w:val="0"/>
          <w:bCs w:val="0"/>
        </w:rPr>
        <w:t>●负责产品的监视测量控制、新品试验评价测试、客户验货等各项工作；</w:t>
      </w:r>
      <w:bookmarkEnd w:id="54"/>
    </w:p>
    <w:p w14:paraId="2A33AD95">
      <w:pPr>
        <w:pStyle w:val="30"/>
        <w:adjustRightInd w:val="0"/>
        <w:snapToGrid w:val="0"/>
        <w:spacing w:after="156" w:afterLines="50" w:line="300" w:lineRule="auto"/>
        <w:outlineLvl w:val="9"/>
        <w:rPr>
          <w:rFonts w:ascii="方正楷体简体" w:eastAsia="方正楷体简体"/>
          <w:b w:val="0"/>
          <w:bCs w:val="0"/>
        </w:rPr>
      </w:pPr>
      <w:bookmarkStart w:id="55" w:name="_Toc6566"/>
      <w:r>
        <w:rPr>
          <w:rFonts w:hint="eastAsia" w:ascii="方正楷体简体" w:eastAsia="方正楷体简体"/>
          <w:b w:val="0"/>
          <w:bCs w:val="0"/>
        </w:rPr>
        <w:t>●依据产品技术标准、行业标准、企业标准、检验标准的相关要求制定本公司产品来料、制程、半成品、成品、出货的检验规程并确保严格实施；</w:t>
      </w:r>
      <w:bookmarkEnd w:id="55"/>
    </w:p>
    <w:p w14:paraId="397B15E0">
      <w:pPr>
        <w:pStyle w:val="30"/>
        <w:adjustRightInd w:val="0"/>
        <w:snapToGrid w:val="0"/>
        <w:spacing w:after="156" w:afterLines="50" w:line="300" w:lineRule="auto"/>
        <w:outlineLvl w:val="9"/>
        <w:rPr>
          <w:rFonts w:ascii="方正楷体简体" w:eastAsia="方正楷体简体"/>
          <w:b w:val="0"/>
          <w:bCs w:val="0"/>
        </w:rPr>
      </w:pPr>
      <w:bookmarkStart w:id="56" w:name="_Toc32670"/>
      <w:r>
        <w:rPr>
          <w:rFonts w:hint="eastAsia" w:ascii="方正楷体简体" w:eastAsia="方正楷体简体"/>
          <w:b w:val="0"/>
          <w:bCs w:val="0"/>
        </w:rPr>
        <w:t>●负责对质量检验数据的汇总、统计和分析，以及采取纠正、预防处理措施实施的跟踪验证；</w:t>
      </w:r>
      <w:bookmarkEnd w:id="56"/>
    </w:p>
    <w:p w14:paraId="1A3095AB">
      <w:pPr>
        <w:pStyle w:val="30"/>
        <w:adjustRightInd w:val="0"/>
        <w:snapToGrid w:val="0"/>
        <w:spacing w:after="156" w:afterLines="50" w:line="300" w:lineRule="auto"/>
        <w:outlineLvl w:val="9"/>
        <w:rPr>
          <w:rFonts w:ascii="方正楷体简体" w:eastAsia="方正楷体简体"/>
          <w:b w:val="0"/>
          <w:bCs w:val="0"/>
        </w:rPr>
      </w:pPr>
      <w:bookmarkStart w:id="57" w:name="_Toc23887"/>
      <w:r>
        <w:rPr>
          <w:rFonts w:hint="eastAsia" w:ascii="方正楷体简体" w:eastAsia="方正楷体简体"/>
          <w:b w:val="0"/>
          <w:bCs w:val="0"/>
        </w:rPr>
        <w:t>●负责跟进相关部门人员解决产品工艺、质量问题；</w:t>
      </w:r>
      <w:bookmarkEnd w:id="57"/>
    </w:p>
    <w:p w14:paraId="65055CAA">
      <w:pPr>
        <w:pStyle w:val="30"/>
        <w:adjustRightInd w:val="0"/>
        <w:snapToGrid w:val="0"/>
        <w:spacing w:after="156" w:afterLines="50" w:line="300" w:lineRule="auto"/>
        <w:outlineLvl w:val="9"/>
        <w:rPr>
          <w:rFonts w:ascii="方正楷体简体" w:eastAsia="方正楷体简体"/>
          <w:b w:val="0"/>
          <w:bCs w:val="0"/>
        </w:rPr>
      </w:pPr>
      <w:bookmarkStart w:id="58" w:name="_Toc13404"/>
      <w:r>
        <w:rPr>
          <w:rFonts w:hint="eastAsia" w:ascii="方正楷体简体" w:eastAsia="方正楷体简体"/>
          <w:b w:val="0"/>
          <w:bCs w:val="0"/>
        </w:rPr>
        <w:t>●负责对质量事故的调查、处理，跟进验证整改措施结果；</w:t>
      </w:r>
      <w:bookmarkEnd w:id="58"/>
    </w:p>
    <w:p w14:paraId="6C7BD651">
      <w:pPr>
        <w:pStyle w:val="30"/>
        <w:adjustRightInd w:val="0"/>
        <w:snapToGrid w:val="0"/>
        <w:spacing w:after="156" w:afterLines="50" w:line="300" w:lineRule="auto"/>
        <w:outlineLvl w:val="9"/>
        <w:rPr>
          <w:rFonts w:ascii="方正楷体简体" w:eastAsia="方正楷体简体"/>
          <w:b w:val="0"/>
          <w:bCs w:val="0"/>
        </w:rPr>
      </w:pPr>
      <w:bookmarkStart w:id="59" w:name="_Toc16903"/>
      <w:r>
        <w:rPr>
          <w:rFonts w:hint="eastAsia" w:ascii="方正楷体简体" w:eastAsia="方正楷体简体"/>
          <w:b w:val="0"/>
          <w:bCs w:val="0"/>
        </w:rPr>
        <w:t>●参与新产品试制、试产的测试及评审，验证其性能及工艺稳定性；</w:t>
      </w:r>
      <w:bookmarkEnd w:id="59"/>
    </w:p>
    <w:p w14:paraId="68AF715D">
      <w:pPr>
        <w:pStyle w:val="30"/>
        <w:adjustRightInd w:val="0"/>
        <w:snapToGrid w:val="0"/>
        <w:spacing w:after="156" w:afterLines="50" w:line="300" w:lineRule="auto"/>
        <w:outlineLvl w:val="9"/>
        <w:rPr>
          <w:rFonts w:ascii="方正楷体简体" w:eastAsia="方正楷体简体"/>
          <w:b w:val="0"/>
          <w:bCs w:val="0"/>
        </w:rPr>
      </w:pPr>
      <w:bookmarkStart w:id="60" w:name="_Toc30463"/>
      <w:r>
        <w:rPr>
          <w:rFonts w:hint="eastAsia" w:ascii="方正楷体简体" w:eastAsia="方正楷体简体"/>
          <w:b w:val="0"/>
          <w:bCs w:val="0"/>
        </w:rPr>
        <w:t>●负责质量事故的调查和提出处理意见；</w:t>
      </w:r>
      <w:bookmarkEnd w:id="60"/>
    </w:p>
    <w:p w14:paraId="684EFCA5">
      <w:pPr>
        <w:pStyle w:val="30"/>
        <w:adjustRightInd w:val="0"/>
        <w:snapToGrid w:val="0"/>
        <w:spacing w:after="156" w:afterLines="50" w:line="300" w:lineRule="auto"/>
        <w:outlineLvl w:val="9"/>
        <w:rPr>
          <w:rFonts w:ascii="方正楷体简体" w:eastAsia="方正楷体简体"/>
          <w:b w:val="0"/>
          <w:bCs w:val="0"/>
        </w:rPr>
      </w:pPr>
      <w:bookmarkStart w:id="61" w:name="_Toc15072"/>
      <w:r>
        <w:rPr>
          <w:rFonts w:hint="eastAsia" w:ascii="方正楷体简体" w:eastAsia="方正楷体简体"/>
          <w:b w:val="0"/>
          <w:bCs w:val="0"/>
        </w:rPr>
        <w:t>●负责客户投诉处理与督导责任单位改进；</w:t>
      </w:r>
      <w:bookmarkEnd w:id="61"/>
    </w:p>
    <w:p w14:paraId="31B09076">
      <w:pPr>
        <w:pStyle w:val="30"/>
        <w:adjustRightInd w:val="0"/>
        <w:snapToGrid w:val="0"/>
        <w:spacing w:after="156" w:afterLines="50" w:line="300" w:lineRule="auto"/>
        <w:outlineLvl w:val="9"/>
        <w:rPr>
          <w:rFonts w:ascii="方正楷体简体" w:eastAsia="方正楷体简体"/>
          <w:b w:val="0"/>
          <w:bCs w:val="0"/>
        </w:rPr>
      </w:pPr>
      <w:bookmarkStart w:id="62" w:name="_Toc4304"/>
      <w:r>
        <w:rPr>
          <w:rFonts w:hint="eastAsia" w:ascii="方正楷体简体" w:eastAsia="方正楷体简体"/>
          <w:b w:val="0"/>
          <w:bCs w:val="0"/>
        </w:rPr>
        <w:t>●负责对特殊工序、关键工序进行控制、检查；</w:t>
      </w:r>
      <w:bookmarkEnd w:id="62"/>
    </w:p>
    <w:p w14:paraId="47F80A20">
      <w:pPr>
        <w:pStyle w:val="30"/>
        <w:adjustRightInd w:val="0"/>
        <w:snapToGrid w:val="0"/>
        <w:spacing w:after="156" w:afterLines="50" w:line="300" w:lineRule="auto"/>
        <w:outlineLvl w:val="9"/>
        <w:rPr>
          <w:rFonts w:ascii="方正楷体简体" w:eastAsia="方正楷体简体"/>
          <w:b w:val="0"/>
          <w:bCs w:val="0"/>
        </w:rPr>
      </w:pPr>
      <w:bookmarkStart w:id="63" w:name="_Toc3191"/>
      <w:r>
        <w:rPr>
          <w:rFonts w:hint="eastAsia" w:ascii="方正楷体简体" w:eastAsia="方正楷体简体"/>
          <w:b w:val="0"/>
          <w:bCs w:val="0"/>
        </w:rPr>
        <w:t>●负责参与供应商的评审、评定、考核并对供应商持有“最终否决权”；</w:t>
      </w:r>
      <w:bookmarkEnd w:id="63"/>
    </w:p>
    <w:p w14:paraId="22310650">
      <w:pPr>
        <w:pStyle w:val="30"/>
        <w:adjustRightInd w:val="0"/>
        <w:snapToGrid w:val="0"/>
        <w:spacing w:after="156" w:afterLines="50" w:line="300" w:lineRule="auto"/>
        <w:outlineLvl w:val="9"/>
        <w:rPr>
          <w:rFonts w:ascii="方正楷体简体" w:eastAsia="方正楷体简体"/>
          <w:b w:val="0"/>
          <w:bCs w:val="0"/>
        </w:rPr>
      </w:pPr>
      <w:bookmarkStart w:id="64" w:name="_Toc14988"/>
      <w:r>
        <w:rPr>
          <w:rFonts w:hint="eastAsia" w:ascii="方正楷体简体" w:eastAsia="方正楷体简体"/>
          <w:b w:val="0"/>
          <w:bCs w:val="0"/>
        </w:rPr>
        <w:t>●负责产品各项认证检测工作；</w:t>
      </w:r>
      <w:bookmarkEnd w:id="64"/>
    </w:p>
    <w:p w14:paraId="16D4B7E9">
      <w:pPr>
        <w:pStyle w:val="30"/>
        <w:adjustRightInd w:val="0"/>
        <w:snapToGrid w:val="0"/>
        <w:spacing w:after="156" w:afterLines="50" w:line="300" w:lineRule="auto"/>
        <w:outlineLvl w:val="9"/>
        <w:rPr>
          <w:rFonts w:ascii="方正楷体简体" w:eastAsia="方正楷体简体"/>
          <w:b w:val="0"/>
          <w:bCs w:val="0"/>
        </w:rPr>
      </w:pPr>
      <w:bookmarkStart w:id="65" w:name="_Toc16608"/>
      <w:r>
        <w:rPr>
          <w:rFonts w:hint="eastAsia" w:ascii="方正楷体简体" w:eastAsia="方正楷体简体"/>
          <w:b w:val="0"/>
          <w:bCs w:val="0"/>
        </w:rPr>
        <w:t>●负责公司质量成本的统计、汇总和分析；</w:t>
      </w:r>
      <w:bookmarkEnd w:id="65"/>
    </w:p>
    <w:p w14:paraId="09CD9F39">
      <w:pPr>
        <w:pStyle w:val="30"/>
        <w:adjustRightInd w:val="0"/>
        <w:snapToGrid w:val="0"/>
        <w:spacing w:after="156" w:afterLines="50" w:line="300" w:lineRule="auto"/>
        <w:outlineLvl w:val="9"/>
        <w:rPr>
          <w:rFonts w:ascii="方正楷体简体" w:eastAsia="方正楷体简体"/>
          <w:b w:val="0"/>
          <w:bCs w:val="0"/>
        </w:rPr>
      </w:pPr>
      <w:bookmarkStart w:id="66" w:name="_Toc24857"/>
      <w:r>
        <w:rPr>
          <w:rFonts w:hint="eastAsia" w:ascii="方正楷体简体" w:eastAsia="方正楷体简体"/>
          <w:b w:val="0"/>
          <w:bCs w:val="0"/>
        </w:rPr>
        <w:t>●负责监视测量设备的系统化管理工作；</w:t>
      </w:r>
      <w:bookmarkEnd w:id="66"/>
    </w:p>
    <w:p w14:paraId="0827A4F1">
      <w:pPr>
        <w:pStyle w:val="30"/>
        <w:adjustRightInd w:val="0"/>
        <w:snapToGrid w:val="0"/>
        <w:spacing w:after="156" w:afterLines="50" w:line="300" w:lineRule="auto"/>
        <w:jc w:val="left"/>
        <w:outlineLvl w:val="3"/>
        <w:rPr>
          <w:rFonts w:ascii="方正楷体简体" w:eastAsia="方正楷体简体"/>
          <w:sz w:val="28"/>
          <w:szCs w:val="28"/>
        </w:rPr>
      </w:pPr>
      <w:bookmarkStart w:id="67" w:name="_Toc30726"/>
      <w:r>
        <w:rPr>
          <w:rFonts w:hint="eastAsia" w:ascii="方正楷体简体" w:eastAsia="方正楷体简体"/>
          <w:sz w:val="28"/>
          <w:szCs w:val="28"/>
        </w:rPr>
        <w:t>2.2.4 质量管理体系</w:t>
      </w:r>
      <w:bookmarkEnd w:id="67"/>
    </w:p>
    <w:p w14:paraId="6B17E657">
      <w:pPr>
        <w:pStyle w:val="30"/>
        <w:adjustRightInd w:val="0"/>
        <w:snapToGrid w:val="0"/>
        <w:spacing w:line="300" w:lineRule="auto"/>
        <w:jc w:val="left"/>
        <w:outlineLvl w:val="9"/>
        <w:rPr>
          <w:rFonts w:ascii="方正仿宋简体" w:hAnsi="方正仿宋简体" w:eastAsia="方正仿宋简体" w:cs="方正仿宋简体"/>
          <w:b w:val="0"/>
          <w:bCs w:val="0"/>
        </w:rPr>
      </w:pPr>
      <w:bookmarkStart w:id="68" w:name="_Toc22757"/>
      <w:r>
        <w:rPr>
          <w:rFonts w:hint="eastAsia" w:ascii="方正仿宋简体" w:hAnsi="方正仿宋简体" w:eastAsia="方正仿宋简体" w:cs="方正仿宋简体"/>
          <w:b w:val="0"/>
          <w:bCs w:val="0"/>
        </w:rPr>
        <w:t>1、公司按照ISO9001：2015规范要求建立质量管理体系并形成文件，加以实施和持续改进其有效性。为此应做到下述要求：</w:t>
      </w:r>
      <w:bookmarkEnd w:id="68"/>
    </w:p>
    <w:p w14:paraId="78A240EB">
      <w:pPr>
        <w:pStyle w:val="30"/>
        <w:adjustRightInd w:val="0"/>
        <w:snapToGrid w:val="0"/>
        <w:spacing w:line="300" w:lineRule="auto"/>
        <w:jc w:val="left"/>
        <w:outlineLvl w:val="9"/>
        <w:rPr>
          <w:rFonts w:ascii="方正仿宋简体" w:hAnsi="方正仿宋简体" w:eastAsia="方正仿宋简体" w:cs="方正仿宋简体"/>
          <w:b w:val="0"/>
          <w:bCs w:val="0"/>
        </w:rPr>
      </w:pPr>
      <w:bookmarkStart w:id="69" w:name="_Toc24581"/>
      <w:r>
        <w:rPr>
          <w:rFonts w:hint="eastAsia" w:ascii="方正仿宋简体" w:hAnsi="方正仿宋简体" w:eastAsia="方正仿宋简体" w:cs="方正仿宋简体"/>
          <w:b w:val="0"/>
          <w:bCs w:val="0"/>
        </w:rPr>
        <w:t>a)确定质量管理体系所需要的过程及其在整个组织中的应用，并根据这些过程对产品品质的影响大小及复杂程度进行相应的控制；</w:t>
      </w:r>
      <w:bookmarkEnd w:id="69"/>
    </w:p>
    <w:p w14:paraId="4CC3759F">
      <w:pPr>
        <w:pStyle w:val="30"/>
        <w:adjustRightInd w:val="0"/>
        <w:snapToGrid w:val="0"/>
        <w:spacing w:line="300" w:lineRule="auto"/>
        <w:jc w:val="left"/>
        <w:outlineLvl w:val="9"/>
        <w:rPr>
          <w:rFonts w:ascii="方正仿宋简体" w:hAnsi="方正仿宋简体" w:eastAsia="方正仿宋简体" w:cs="方正仿宋简体"/>
          <w:b w:val="0"/>
          <w:bCs w:val="0"/>
        </w:rPr>
      </w:pPr>
      <w:bookmarkStart w:id="70" w:name="_Toc15715"/>
      <w:r>
        <w:rPr>
          <w:rFonts w:hint="eastAsia" w:ascii="方正仿宋简体" w:hAnsi="方正仿宋简体" w:eastAsia="方正仿宋简体" w:cs="方正仿宋简体"/>
          <w:b w:val="0"/>
          <w:bCs w:val="0"/>
        </w:rPr>
        <w:t>b) 确定过程之间的内在联系、顺序和相互作用；</w:t>
      </w:r>
      <w:bookmarkEnd w:id="70"/>
    </w:p>
    <w:p w14:paraId="4AA38B48">
      <w:pPr>
        <w:pStyle w:val="30"/>
        <w:adjustRightInd w:val="0"/>
        <w:snapToGrid w:val="0"/>
        <w:spacing w:line="300" w:lineRule="auto"/>
        <w:jc w:val="left"/>
        <w:outlineLvl w:val="9"/>
        <w:rPr>
          <w:rFonts w:ascii="方正仿宋简体" w:hAnsi="方正仿宋简体" w:eastAsia="方正仿宋简体" w:cs="方正仿宋简体"/>
          <w:b w:val="0"/>
          <w:bCs w:val="0"/>
        </w:rPr>
      </w:pPr>
      <w:bookmarkStart w:id="71" w:name="_Toc15678"/>
      <w:r>
        <w:rPr>
          <w:rFonts w:hint="eastAsia" w:ascii="方正仿宋简体" w:hAnsi="方正仿宋简体" w:eastAsia="方正仿宋简体" w:cs="方正仿宋简体"/>
          <w:b w:val="0"/>
          <w:bCs w:val="0"/>
        </w:rPr>
        <w:t>c) 确定所需的准则和方法，以确保这些过程的运行和控制有效；</w:t>
      </w:r>
      <w:bookmarkEnd w:id="71"/>
    </w:p>
    <w:p w14:paraId="30B22AF6">
      <w:pPr>
        <w:pStyle w:val="30"/>
        <w:adjustRightInd w:val="0"/>
        <w:snapToGrid w:val="0"/>
        <w:spacing w:line="300" w:lineRule="auto"/>
        <w:jc w:val="left"/>
        <w:outlineLvl w:val="9"/>
        <w:rPr>
          <w:rFonts w:ascii="方正仿宋简体" w:hAnsi="方正仿宋简体" w:eastAsia="方正仿宋简体" w:cs="方正仿宋简体"/>
          <w:b w:val="0"/>
          <w:bCs w:val="0"/>
        </w:rPr>
      </w:pPr>
      <w:bookmarkStart w:id="72" w:name="_Toc25916"/>
      <w:r>
        <w:rPr>
          <w:rFonts w:hint="eastAsia" w:ascii="方正仿宋简体" w:hAnsi="方正仿宋简体" w:eastAsia="方正仿宋简体" w:cs="方正仿宋简体"/>
          <w:b w:val="0"/>
          <w:bCs w:val="0"/>
        </w:rPr>
        <w:t>d) 确保可以获得必要的资源和信息，以支持对这些过程的运行和监视；</w:t>
      </w:r>
      <w:bookmarkEnd w:id="72"/>
    </w:p>
    <w:p w14:paraId="0B502F4F">
      <w:pPr>
        <w:pStyle w:val="30"/>
        <w:adjustRightInd w:val="0"/>
        <w:snapToGrid w:val="0"/>
        <w:spacing w:line="300" w:lineRule="auto"/>
        <w:jc w:val="left"/>
        <w:outlineLvl w:val="9"/>
        <w:rPr>
          <w:rFonts w:ascii="方正仿宋简体" w:hAnsi="方正仿宋简体" w:eastAsia="方正仿宋简体" w:cs="方正仿宋简体"/>
          <w:b w:val="0"/>
          <w:bCs w:val="0"/>
        </w:rPr>
      </w:pPr>
      <w:bookmarkStart w:id="73" w:name="_Toc26687"/>
      <w:r>
        <w:rPr>
          <w:rFonts w:hint="eastAsia" w:ascii="方正仿宋简体" w:hAnsi="方正仿宋简体" w:eastAsia="方正仿宋简体" w:cs="方正仿宋简体"/>
          <w:b w:val="0"/>
          <w:bCs w:val="0"/>
        </w:rPr>
        <w:t>e) 监视、测量（适用时）和分析这些过程，以了解过程运行的趋势及实现策划结果的程度，并根据分析对过程采取必要的措施，以实现持续的改进；</w:t>
      </w:r>
      <w:bookmarkEnd w:id="73"/>
    </w:p>
    <w:p w14:paraId="25EF724A">
      <w:pPr>
        <w:pStyle w:val="30"/>
        <w:adjustRightInd w:val="0"/>
        <w:snapToGrid w:val="0"/>
        <w:spacing w:line="300" w:lineRule="auto"/>
        <w:jc w:val="left"/>
        <w:outlineLvl w:val="9"/>
        <w:rPr>
          <w:rFonts w:ascii="方正仿宋简体" w:hAnsi="方正仿宋简体" w:eastAsia="方正仿宋简体" w:cs="方正仿宋简体"/>
          <w:b w:val="0"/>
          <w:bCs w:val="0"/>
        </w:rPr>
      </w:pPr>
      <w:bookmarkStart w:id="74" w:name="_Toc22828"/>
      <w:r>
        <w:rPr>
          <w:rFonts w:hint="eastAsia" w:ascii="方正仿宋简体" w:hAnsi="方正仿宋简体" w:eastAsia="方正仿宋简体" w:cs="方正仿宋简体"/>
          <w:b w:val="0"/>
          <w:bCs w:val="0"/>
        </w:rPr>
        <w:t>f) 本公司确保对任何影响产品符合要求的外加工过程加以识别，并实施控制。</w:t>
      </w:r>
      <w:bookmarkEnd w:id="74"/>
    </w:p>
    <w:p w14:paraId="28270DEF">
      <w:pPr>
        <w:pStyle w:val="30"/>
        <w:adjustRightInd w:val="0"/>
        <w:snapToGrid w:val="0"/>
        <w:spacing w:line="300" w:lineRule="auto"/>
        <w:ind w:firstLine="480" w:firstLineChars="200"/>
        <w:jc w:val="left"/>
        <w:outlineLvl w:val="9"/>
        <w:rPr>
          <w:rFonts w:ascii="方正仿宋简体" w:hAnsi="方正仿宋简体" w:eastAsia="方正仿宋简体" w:cs="方正仿宋简体"/>
          <w:b w:val="0"/>
          <w:bCs w:val="0"/>
        </w:rPr>
      </w:pPr>
      <w:bookmarkStart w:id="75" w:name="_Toc6067"/>
      <w:r>
        <w:rPr>
          <w:rFonts w:hint="eastAsia" w:ascii="方正仿宋简体" w:hAnsi="方正仿宋简体" w:eastAsia="方正仿宋简体" w:cs="方正仿宋简体"/>
          <w:b w:val="0"/>
          <w:bCs w:val="0"/>
        </w:rPr>
        <w:t>最高管理者必须确定在组织的相关职能和各层次上的质量目标和衡量方法，公司的质量目标及衡量方法明确且可测量，并与质量方针相适应，与经营计划相结合。质量目标必须包括满足产品要求所需的内容，并且落实顾客期望；目前公司质量目标为：</w:t>
      </w:r>
      <w:bookmarkEnd w:id="75"/>
    </w:p>
    <w:p w14:paraId="149E858A">
      <w:pPr>
        <w:pStyle w:val="30"/>
        <w:adjustRightInd w:val="0"/>
        <w:snapToGrid w:val="0"/>
        <w:spacing w:line="300" w:lineRule="auto"/>
        <w:ind w:firstLine="480" w:firstLineChars="200"/>
        <w:jc w:val="left"/>
        <w:outlineLvl w:val="9"/>
        <w:rPr>
          <w:rFonts w:ascii="方正仿宋简体" w:hAnsi="方正仿宋简体" w:eastAsia="方正仿宋简体" w:cs="方正仿宋简体"/>
          <w:b w:val="0"/>
          <w:bCs w:val="0"/>
        </w:rPr>
      </w:pPr>
      <w:bookmarkStart w:id="76" w:name="_Toc27300"/>
      <w:r>
        <w:rPr>
          <w:rFonts w:hint="eastAsia" w:ascii="方正仿宋简体" w:hAnsi="方正仿宋简体" w:eastAsia="方正仿宋简体" w:cs="方正仿宋简体"/>
          <w:b w:val="0"/>
          <w:bCs w:val="0"/>
        </w:rPr>
        <w:t>1.顾客满意度≥98%             2.进料检验合格率≥99%</w:t>
      </w:r>
      <w:bookmarkEnd w:id="76"/>
    </w:p>
    <w:p w14:paraId="577788DF">
      <w:pPr>
        <w:pStyle w:val="30"/>
        <w:adjustRightInd w:val="0"/>
        <w:snapToGrid w:val="0"/>
        <w:spacing w:line="300" w:lineRule="auto"/>
        <w:ind w:firstLine="480" w:firstLineChars="200"/>
        <w:jc w:val="left"/>
        <w:outlineLvl w:val="9"/>
        <w:rPr>
          <w:rFonts w:ascii="方正仿宋简体" w:hAnsi="方正仿宋简体" w:eastAsia="方正仿宋简体" w:cs="方正仿宋简体"/>
          <w:b w:val="0"/>
          <w:bCs w:val="0"/>
        </w:rPr>
      </w:pPr>
      <w:bookmarkStart w:id="77" w:name="_Toc16111"/>
      <w:r>
        <w:rPr>
          <w:rFonts w:hint="eastAsia" w:ascii="方正仿宋简体" w:hAnsi="方正仿宋简体" w:eastAsia="方正仿宋简体" w:cs="方正仿宋简体"/>
          <w:b w:val="0"/>
          <w:bCs w:val="0"/>
        </w:rPr>
        <w:t>3.采购成本降低率≥2.5%        4.出厂检验一次合格率100%</w:t>
      </w:r>
      <w:bookmarkEnd w:id="77"/>
    </w:p>
    <w:p w14:paraId="13B57F65">
      <w:pPr>
        <w:pStyle w:val="30"/>
        <w:adjustRightInd w:val="0"/>
        <w:snapToGrid w:val="0"/>
        <w:spacing w:line="300" w:lineRule="auto"/>
        <w:jc w:val="left"/>
        <w:outlineLvl w:val="9"/>
        <w:rPr>
          <w:rFonts w:ascii="方正仿宋简体" w:hAnsi="方正仿宋简体" w:eastAsia="方正仿宋简体" w:cs="方正仿宋简体"/>
          <w:b w:val="0"/>
          <w:bCs w:val="0"/>
        </w:rPr>
      </w:pPr>
      <w:bookmarkStart w:id="78" w:name="_Toc12457"/>
      <w:r>
        <w:rPr>
          <w:rFonts w:hint="eastAsia" w:ascii="方正仿宋简体" w:hAnsi="方正仿宋简体" w:eastAsia="方正仿宋简体" w:cs="方正仿宋简体"/>
          <w:b w:val="0"/>
          <w:bCs w:val="0"/>
        </w:rPr>
        <w:t>以上项目在每年年度计划时定出实际目标值，并考虑持续改进的要求</w:t>
      </w:r>
      <w:bookmarkEnd w:id="78"/>
    </w:p>
    <w:p w14:paraId="64601000">
      <w:pPr>
        <w:pStyle w:val="30"/>
        <w:numPr>
          <w:ilvl w:val="0"/>
          <w:numId w:val="1"/>
        </w:numPr>
        <w:adjustRightInd w:val="0"/>
        <w:snapToGrid w:val="0"/>
        <w:spacing w:line="300" w:lineRule="auto"/>
        <w:jc w:val="left"/>
        <w:outlineLvl w:val="9"/>
        <w:rPr>
          <w:rFonts w:ascii="方正仿宋简体" w:hAnsi="方正仿宋简体" w:eastAsia="方正仿宋简体" w:cs="方正仿宋简体"/>
          <w:b w:val="0"/>
          <w:bCs w:val="0"/>
        </w:rPr>
      </w:pPr>
      <w:bookmarkStart w:id="79" w:name="_Toc19932"/>
      <w:r>
        <w:rPr>
          <w:rFonts w:hint="eastAsia" w:ascii="方正仿宋简体" w:hAnsi="方正仿宋简体" w:eastAsia="方正仿宋简体" w:cs="方正仿宋简体"/>
          <w:b w:val="0"/>
          <w:bCs w:val="0"/>
        </w:rPr>
        <w:t>公司先后通过了GB/T19001-2016idtISO9001:2015质量管理体系认证、GB/T24001-2016idtISO14001:2015环境管理体系认证、GB/T45001-2020idtISO45001:2018职业健康安全管理体系认证、</w:t>
      </w:r>
      <w:bookmarkEnd w:id="79"/>
    </w:p>
    <w:p w14:paraId="3E2827EA">
      <w:pPr>
        <w:pStyle w:val="30"/>
        <w:adjustRightInd w:val="0"/>
        <w:snapToGrid w:val="0"/>
        <w:spacing w:line="300" w:lineRule="auto"/>
        <w:jc w:val="left"/>
        <w:outlineLvl w:val="9"/>
        <w:rPr>
          <w:rFonts w:ascii="方正仿宋简体" w:hAnsi="方正仿宋简体" w:eastAsia="方正仿宋简体" w:cs="方正仿宋简体"/>
          <w:b w:val="0"/>
          <w:bCs w:val="0"/>
        </w:rPr>
        <w:sectPr>
          <w:pgSz w:w="11906" w:h="16838"/>
          <w:pgMar w:top="1985" w:right="1361" w:bottom="1361" w:left="1588" w:header="851" w:footer="1417" w:gutter="0"/>
          <w:pgNumType w:fmt="numberInDash"/>
          <w:cols w:space="425" w:num="1"/>
          <w:docGrid w:type="lines" w:linePitch="312" w:charSpace="0"/>
        </w:sectPr>
      </w:pPr>
      <w:bookmarkStart w:id="80" w:name="_Toc9356"/>
      <w:r>
        <w:rPr>
          <w:rFonts w:hint="eastAsia" w:ascii="方正仿宋简体" w:hAnsi="方正仿宋简体" w:eastAsia="方正仿宋简体" w:cs="方正仿宋简体"/>
          <w:b w:val="0"/>
          <w:bCs w:val="0"/>
        </w:rPr>
        <w:t>GB/T29490-2013知识产权管理体系认证、社会责任报告等，并有效导入到各部门，提升各部门的管理水平。</w:t>
      </w:r>
      <w:bookmarkEnd w:id="80"/>
    </w:p>
    <w:p w14:paraId="5BB04AE0">
      <w:pPr>
        <w:pStyle w:val="30"/>
        <w:adjustRightInd w:val="0"/>
        <w:snapToGrid w:val="0"/>
        <w:spacing w:line="300" w:lineRule="auto"/>
        <w:jc w:val="left"/>
        <w:rPr>
          <w:rFonts w:ascii="方正楷体简体" w:eastAsia="方正楷体简体"/>
          <w:sz w:val="28"/>
          <w:szCs w:val="28"/>
        </w:rPr>
      </w:pPr>
      <w:bookmarkStart w:id="81" w:name="_Toc17748"/>
      <w:bookmarkStart w:id="82" w:name="_Toc498627597"/>
      <w:bookmarkStart w:id="83" w:name="_Toc408837547"/>
      <w:r>
        <w:rPr>
          <w:rFonts w:hint="eastAsia" w:ascii="方正楷体简体" w:eastAsia="方正楷体简体"/>
          <w:sz w:val="28"/>
          <w:szCs w:val="28"/>
        </w:rPr>
        <w:t>2.3 质量诚信管理</w:t>
      </w:r>
      <w:bookmarkEnd w:id="81"/>
      <w:bookmarkEnd w:id="82"/>
      <w:bookmarkEnd w:id="83"/>
    </w:p>
    <w:p w14:paraId="3830BD7D">
      <w:pPr>
        <w:adjustRightInd w:val="0"/>
        <w:snapToGrid w:val="0"/>
        <w:spacing w:line="300" w:lineRule="auto"/>
        <w:outlineLvl w:val="2"/>
        <w:rPr>
          <w:rFonts w:ascii="方正仿宋简体" w:eastAsia="方正仿宋简体"/>
          <w:b/>
          <w:sz w:val="28"/>
          <w:szCs w:val="28"/>
        </w:rPr>
      </w:pPr>
      <w:bookmarkStart w:id="84" w:name="_Toc9574"/>
      <w:r>
        <w:rPr>
          <w:rFonts w:hint="eastAsia" w:ascii="方正仿宋简体" w:eastAsia="方正仿宋简体"/>
          <w:b/>
          <w:sz w:val="28"/>
          <w:szCs w:val="28"/>
        </w:rPr>
        <w:t>2.3.1 完善质量管理体系，加强质量管控。</w:t>
      </w:r>
      <w:bookmarkEnd w:id="84"/>
    </w:p>
    <w:p w14:paraId="103E9446">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完善质量管理体系，加强质量管控。</w:t>
      </w:r>
      <w:r>
        <w:rPr>
          <w:rFonts w:hint="eastAsia" w:ascii="方正仿宋简体" w:hAnsi="方正仿宋简体" w:eastAsia="方正仿宋简体" w:cs="方正仿宋简体"/>
          <w:sz w:val="24"/>
          <w:szCs w:val="32"/>
        </w:rPr>
        <w:t>确保产品从原料采购、技术研发、过程控制、物流仓储到销售服务各环节的严格要求与高标准把控，建立严格的质量管控系统，所有产品通过专业测试与检验合格，充分保障产品精度，确保在适用领域的质量安全。</w:t>
      </w:r>
    </w:p>
    <w:p w14:paraId="7EE4B7EE">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方正仿宋简体" w:eastAsia="方正仿宋简体" w:cs="方正仿宋简体"/>
          <w:sz w:val="24"/>
          <w:szCs w:val="32"/>
        </w:rPr>
        <w:t>为最大限度满足客户及其它相关方要求、实现公司战略目标，公司建立了过程管理系统，识别价值创造过程和关键支持过程，进行过程的要求、设计、实施和持续改进。采取定岗定责、过程检查、质量考核、责任追究、质量追溯、数据统计分析等一系列行之有效的方法，做到关键工序重点控制、普通工序规范操作，通过对生产过程的全面控制和对关键节点的有效监督，提高了工作质量，保证了产品质量。</w:t>
      </w:r>
    </w:p>
    <w:p w14:paraId="71C4C4B2">
      <w:pPr>
        <w:adjustRightInd w:val="0"/>
        <w:snapToGrid w:val="0"/>
        <w:spacing w:line="300" w:lineRule="auto"/>
        <w:outlineLvl w:val="2"/>
        <w:rPr>
          <w:rFonts w:ascii="方正仿宋简体" w:eastAsia="方正仿宋简体"/>
          <w:b/>
          <w:sz w:val="28"/>
          <w:szCs w:val="28"/>
        </w:rPr>
      </w:pPr>
      <w:bookmarkStart w:id="85" w:name="_Toc27425"/>
      <w:r>
        <w:rPr>
          <w:rFonts w:hint="eastAsia" w:ascii="方正仿宋简体" w:eastAsia="方正仿宋简体"/>
          <w:b/>
          <w:sz w:val="28"/>
          <w:szCs w:val="28"/>
        </w:rPr>
        <w:t>2.3.2 运作管理</w:t>
      </w:r>
      <w:bookmarkEnd w:id="85"/>
    </w:p>
    <w:p w14:paraId="66EE70A3">
      <w:pPr>
        <w:adjustRightInd w:val="0"/>
        <w:snapToGrid w:val="0"/>
        <w:spacing w:line="300" w:lineRule="auto"/>
        <w:ind w:firstLine="480" w:firstLineChars="200"/>
        <w:rPr>
          <w:rFonts w:ascii="方正仿宋简体" w:eastAsia="方正仿宋简体"/>
          <w:b/>
          <w:sz w:val="28"/>
          <w:szCs w:val="28"/>
        </w:rPr>
      </w:pPr>
      <w:r>
        <w:rPr>
          <w:rFonts w:hint="eastAsia" w:ascii="方正仿宋简体" w:eastAsia="方正仿宋简体"/>
          <w:bCs/>
          <w:sz w:val="24"/>
        </w:rPr>
        <w:t>对高质量的追求是企业发展的基本。弗尔德在成立之初，就注重提高产品品质和档次的基础上，积极优化和调整产品结构，使主导产品技术水平达到国际同行业产品的先进水平。弗尔德自起始就坚持中高端发展理念，不走低端路线。首先考虑产品质量，从原材料和生产工艺入手，高标准要求自我，坚持“创新、品质、责任、共赢”的核心价值观，从研发设计-采购-生产-质检的每个环节都设置了缜密的控制程序，进行严格的管控，杜绝质量安全事故的发生。在设计方面，进行详图管理控制，严格按照设计及规范要求，排除差错和疑义，从详图设计，到校对，到图纸发放层层把控。在采购方面，对供方进行评价和控制，抓源头质量，严格按照设计要求进行原辅材料的采购。在生产方面，引入精益生产和运用IT工程优化生产工艺，自检、互检与专检并重。在质检方面，杜绝劣质原辅材料、不合格产品的使用和出厂，从而杜绝了质量安全隐患的存在；同时采用FMEA分析等一些列先进质量工具保证全面的质量控制。随着每家电梯厂家要求的不同，对产品也需要持续的改进，即使有许多电梯厂家合作支持，也要质量至上，对于技术人员和管理人员的要求也就会更高。“质量是企业的生命，一刻也不能松懈。”弗尔德正是靠着对质量的孜孜以求，获得了众多电梯企业的认可与信赖。</w:t>
      </w:r>
    </w:p>
    <w:p w14:paraId="32FAD875">
      <w:pPr>
        <w:adjustRightInd w:val="0"/>
        <w:snapToGrid w:val="0"/>
        <w:spacing w:line="300" w:lineRule="auto"/>
        <w:outlineLvl w:val="2"/>
        <w:rPr>
          <w:rFonts w:ascii="方正仿宋简体" w:eastAsia="方正仿宋简体"/>
          <w:b/>
          <w:sz w:val="28"/>
          <w:szCs w:val="28"/>
        </w:rPr>
      </w:pPr>
      <w:bookmarkStart w:id="86" w:name="_Toc8326"/>
      <w:r>
        <w:rPr>
          <w:rFonts w:hint="eastAsia" w:ascii="方正仿宋简体" w:eastAsia="方正仿宋简体"/>
          <w:b/>
          <w:sz w:val="28"/>
          <w:szCs w:val="28"/>
        </w:rPr>
        <w:t>2.3.3 升级信息传递</w:t>
      </w:r>
      <w:bookmarkEnd w:id="86"/>
    </w:p>
    <w:p w14:paraId="48D8C214">
      <w:pPr>
        <w:pStyle w:val="30"/>
        <w:adjustRightInd w:val="0"/>
        <w:snapToGrid w:val="0"/>
        <w:spacing w:line="300" w:lineRule="auto"/>
        <w:ind w:firstLine="480" w:firstLineChars="200"/>
        <w:jc w:val="left"/>
        <w:outlineLvl w:val="9"/>
        <w:rPr>
          <w:rFonts w:ascii="方正仿宋简体" w:eastAsia="方正仿宋简体"/>
          <w:b w:val="0"/>
        </w:rPr>
      </w:pPr>
      <w:bookmarkStart w:id="87" w:name="_Toc837"/>
      <w:bookmarkStart w:id="88" w:name="_Toc408837548"/>
      <w:bookmarkStart w:id="89" w:name="_Toc498627598"/>
      <w:r>
        <w:rPr>
          <w:rFonts w:hint="eastAsia" w:ascii="方正仿宋简体" w:eastAsia="方正仿宋简体"/>
          <w:b w:val="0"/>
        </w:rPr>
        <w:t>公司在质量方针要求的前提下，每年年底对下一年度的质量目标进行策划，并将总目标层层分解至各有关职能部门。各部门对受控目标任务进行逐层分解并对相关数据加以统计、分析，同时进行持续改进确保公司总目标的实现。</w:t>
      </w:r>
      <w:bookmarkEnd w:id="87"/>
    </w:p>
    <w:p w14:paraId="67820EF3">
      <w:pPr>
        <w:pStyle w:val="30"/>
        <w:adjustRightInd w:val="0"/>
        <w:snapToGrid w:val="0"/>
        <w:spacing w:line="300" w:lineRule="auto"/>
        <w:ind w:firstLine="480" w:firstLineChars="200"/>
        <w:jc w:val="left"/>
        <w:outlineLvl w:val="9"/>
        <w:rPr>
          <w:rFonts w:ascii="方正仿宋简体" w:eastAsia="方正仿宋简体"/>
          <w:b w:val="0"/>
        </w:rPr>
      </w:pPr>
      <w:bookmarkStart w:id="90" w:name="_Toc20014"/>
      <w:r>
        <w:rPr>
          <w:rFonts w:hint="eastAsia" w:ascii="方正仿宋简体" w:eastAsia="方正仿宋简体"/>
          <w:b w:val="0"/>
        </w:rPr>
        <w:t>近年来在信息化方面累计投入680余万元，开发EPO管理系统，建立大数据平台，将客户信息、生产运营数据、供应链信息、产品质量信息等整合到一起，在一个平台上实现生产数据、生产计划、车间管理、质量检验、供应链管理、库存管理、采购管理、销售管理、财务管理、发运管理、售后管理等。公司被评为浙江省新一代信息技术与制造业融合发展试点示范企业、湖州市两化融合示范企业、湖州市上云标杆企业。</w:t>
      </w:r>
      <w:bookmarkEnd w:id="90"/>
    </w:p>
    <w:p w14:paraId="76B5AD25">
      <w:pPr>
        <w:pStyle w:val="30"/>
        <w:adjustRightInd w:val="0"/>
        <w:snapToGrid w:val="0"/>
        <w:spacing w:line="300" w:lineRule="auto"/>
        <w:ind w:firstLine="482" w:firstLineChars="200"/>
        <w:outlineLvl w:val="9"/>
        <w:rPr>
          <w:rFonts w:ascii="Times New Roman"/>
        </w:rPr>
      </w:pPr>
      <w:r>
        <w:rPr>
          <w:rFonts w:ascii="Times New Roman"/>
        </w:rPr>
        <w:drawing>
          <wp:anchor distT="0" distB="0" distL="114300" distR="114300" simplePos="0" relativeHeight="251660288" behindDoc="0" locked="0" layoutInCell="1" allowOverlap="1">
            <wp:simplePos x="0" y="0"/>
            <wp:positionH relativeFrom="column">
              <wp:posOffset>-13335</wp:posOffset>
            </wp:positionH>
            <wp:positionV relativeFrom="paragraph">
              <wp:posOffset>64135</wp:posOffset>
            </wp:positionV>
            <wp:extent cx="5663565" cy="2808605"/>
            <wp:effectExtent l="0" t="0" r="13335" b="10795"/>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stretch>
                      <a:fillRect/>
                    </a:stretch>
                  </pic:blipFill>
                  <pic:spPr>
                    <a:xfrm>
                      <a:off x="0" y="0"/>
                      <a:ext cx="5663565" cy="2808605"/>
                    </a:xfrm>
                    <a:prstGeom prst="rect">
                      <a:avLst/>
                    </a:prstGeom>
                    <a:noFill/>
                    <a:ln>
                      <a:noFill/>
                    </a:ln>
                  </pic:spPr>
                </pic:pic>
              </a:graphicData>
            </a:graphic>
          </wp:anchor>
        </w:drawing>
      </w:r>
    </w:p>
    <w:p w14:paraId="4A9F2C56">
      <w:pPr>
        <w:pStyle w:val="5"/>
        <w:sectPr>
          <w:pgSz w:w="11906" w:h="16838"/>
          <w:pgMar w:top="1985" w:right="1361" w:bottom="1361" w:left="1588" w:header="851" w:footer="1417" w:gutter="0"/>
          <w:pgNumType w:fmt="numberInDash"/>
          <w:cols w:space="425" w:num="1"/>
          <w:docGrid w:type="lines" w:linePitch="312" w:charSpace="0"/>
        </w:sectPr>
      </w:pPr>
      <w:r>
        <w:rPr>
          <w:rFonts w:hint="eastAsia" w:ascii="方正仿宋简体" w:hAnsi="方正仿宋简体" w:eastAsia="方正仿宋简体" w:cs="方正仿宋简体"/>
          <w:b w:val="0"/>
          <w:bCs/>
          <w:sz w:val="24"/>
          <w:szCs w:val="32"/>
        </w:rPr>
        <w:t>弗尔德EPO平台架构图</w:t>
      </w:r>
    </w:p>
    <w:p w14:paraId="62BD17DC">
      <w:pPr>
        <w:pStyle w:val="30"/>
        <w:adjustRightInd w:val="0"/>
        <w:snapToGrid w:val="0"/>
        <w:spacing w:line="300" w:lineRule="auto"/>
        <w:rPr>
          <w:rFonts w:ascii="方正楷体简体" w:eastAsia="方正楷体简体"/>
          <w:sz w:val="28"/>
          <w:szCs w:val="28"/>
        </w:rPr>
      </w:pPr>
      <w:bookmarkStart w:id="91" w:name="_Toc11598"/>
      <w:r>
        <w:rPr>
          <w:rFonts w:hint="eastAsia" w:ascii="方正楷体简体" w:eastAsia="方正楷体简体"/>
          <w:sz w:val="28"/>
          <w:szCs w:val="28"/>
        </w:rPr>
        <w:t>2.4 质量管理基础</w:t>
      </w:r>
      <w:bookmarkEnd w:id="88"/>
      <w:bookmarkEnd w:id="89"/>
      <w:bookmarkEnd w:id="91"/>
    </w:p>
    <w:p w14:paraId="631921B7">
      <w:pPr>
        <w:adjustRightInd w:val="0"/>
        <w:snapToGrid w:val="0"/>
        <w:spacing w:line="300" w:lineRule="auto"/>
        <w:outlineLvl w:val="2"/>
        <w:rPr>
          <w:rFonts w:ascii="方正仿宋简体" w:eastAsia="方正仿宋简体"/>
          <w:b/>
          <w:sz w:val="28"/>
          <w:szCs w:val="28"/>
        </w:rPr>
      </w:pPr>
      <w:bookmarkStart w:id="92" w:name="_Toc27174"/>
      <w:r>
        <w:rPr>
          <w:rFonts w:hint="eastAsia" w:ascii="方正仿宋简体" w:eastAsia="方正仿宋简体"/>
          <w:b/>
          <w:sz w:val="28"/>
          <w:szCs w:val="28"/>
        </w:rPr>
        <w:t>2.4.1 标准管理</w:t>
      </w:r>
      <w:bookmarkEnd w:id="92"/>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879"/>
        <w:gridCol w:w="2504"/>
        <w:gridCol w:w="2552"/>
        <w:gridCol w:w="1119"/>
      </w:tblGrid>
      <w:tr w14:paraId="037D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610" w:type="pct"/>
            <w:shd w:val="clear" w:color="auto" w:fill="183883"/>
            <w:vAlign w:val="center"/>
          </w:tcPr>
          <w:p w14:paraId="6EFC351B">
            <w:pPr>
              <w:adjustRightInd w:val="0"/>
              <w:snapToGrid w:val="0"/>
              <w:spacing w:line="300" w:lineRule="auto"/>
              <w:jc w:val="center"/>
              <w:rPr>
                <w:b/>
                <w:kern w:val="0"/>
                <w:szCs w:val="21"/>
              </w:rPr>
            </w:pPr>
            <w:r>
              <w:rPr>
                <w:b/>
                <w:kern w:val="0"/>
                <w:szCs w:val="21"/>
              </w:rPr>
              <w:t>控制项目</w:t>
            </w:r>
          </w:p>
        </w:tc>
        <w:tc>
          <w:tcPr>
            <w:tcW w:w="1024" w:type="pct"/>
            <w:shd w:val="clear" w:color="auto" w:fill="183883"/>
            <w:vAlign w:val="center"/>
          </w:tcPr>
          <w:p w14:paraId="2F724D04">
            <w:pPr>
              <w:adjustRightInd w:val="0"/>
              <w:snapToGrid w:val="0"/>
              <w:spacing w:line="300" w:lineRule="auto"/>
              <w:jc w:val="center"/>
              <w:rPr>
                <w:b/>
                <w:kern w:val="0"/>
                <w:szCs w:val="21"/>
              </w:rPr>
            </w:pPr>
            <w:r>
              <w:rPr>
                <w:b/>
                <w:kern w:val="0"/>
                <w:szCs w:val="21"/>
              </w:rPr>
              <w:t>危险源</w:t>
            </w:r>
          </w:p>
        </w:tc>
        <w:tc>
          <w:tcPr>
            <w:tcW w:w="1365" w:type="pct"/>
            <w:shd w:val="clear" w:color="auto" w:fill="183883"/>
            <w:vAlign w:val="center"/>
          </w:tcPr>
          <w:p w14:paraId="7AEDA06A">
            <w:pPr>
              <w:adjustRightInd w:val="0"/>
              <w:snapToGrid w:val="0"/>
              <w:spacing w:line="300" w:lineRule="auto"/>
              <w:jc w:val="center"/>
              <w:rPr>
                <w:b/>
                <w:kern w:val="0"/>
                <w:szCs w:val="21"/>
              </w:rPr>
            </w:pPr>
            <w:r>
              <w:rPr>
                <w:b/>
                <w:kern w:val="0"/>
                <w:szCs w:val="21"/>
              </w:rPr>
              <w:t>法律法规要求</w:t>
            </w:r>
          </w:p>
        </w:tc>
        <w:tc>
          <w:tcPr>
            <w:tcW w:w="1391" w:type="pct"/>
            <w:shd w:val="clear" w:color="auto" w:fill="183883"/>
            <w:vAlign w:val="center"/>
          </w:tcPr>
          <w:p w14:paraId="123E5993">
            <w:pPr>
              <w:adjustRightInd w:val="0"/>
              <w:snapToGrid w:val="0"/>
              <w:spacing w:line="300" w:lineRule="auto"/>
              <w:jc w:val="center"/>
              <w:rPr>
                <w:b/>
                <w:kern w:val="0"/>
                <w:szCs w:val="21"/>
              </w:rPr>
            </w:pPr>
            <w:r>
              <w:rPr>
                <w:b/>
                <w:kern w:val="0"/>
                <w:szCs w:val="21"/>
              </w:rPr>
              <w:t>公司要求</w:t>
            </w:r>
          </w:p>
        </w:tc>
        <w:tc>
          <w:tcPr>
            <w:tcW w:w="610" w:type="pct"/>
            <w:shd w:val="clear" w:color="auto" w:fill="183883"/>
            <w:vAlign w:val="center"/>
          </w:tcPr>
          <w:p w14:paraId="4DA78938">
            <w:pPr>
              <w:adjustRightInd w:val="0"/>
              <w:snapToGrid w:val="0"/>
              <w:spacing w:line="300" w:lineRule="auto"/>
              <w:jc w:val="center"/>
              <w:rPr>
                <w:b/>
                <w:kern w:val="0"/>
                <w:szCs w:val="21"/>
              </w:rPr>
            </w:pPr>
            <w:r>
              <w:rPr>
                <w:b/>
                <w:kern w:val="0"/>
                <w:szCs w:val="21"/>
              </w:rPr>
              <w:t>测量方法</w:t>
            </w:r>
          </w:p>
        </w:tc>
      </w:tr>
      <w:tr w14:paraId="0016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64713788">
            <w:pPr>
              <w:adjustRightInd w:val="0"/>
              <w:snapToGrid w:val="0"/>
              <w:spacing w:line="300" w:lineRule="auto"/>
              <w:jc w:val="center"/>
              <w:rPr>
                <w:kern w:val="0"/>
                <w:szCs w:val="21"/>
              </w:rPr>
            </w:pPr>
            <w:r>
              <w:rPr>
                <w:kern w:val="0"/>
                <w:szCs w:val="21"/>
              </w:rPr>
              <w:t>质量安全</w:t>
            </w:r>
          </w:p>
        </w:tc>
        <w:tc>
          <w:tcPr>
            <w:tcW w:w="1024" w:type="pct"/>
            <w:vAlign w:val="center"/>
          </w:tcPr>
          <w:p w14:paraId="45199055">
            <w:pPr>
              <w:adjustRightInd w:val="0"/>
              <w:snapToGrid w:val="0"/>
              <w:spacing w:line="300" w:lineRule="auto"/>
              <w:jc w:val="center"/>
              <w:rPr>
                <w:kern w:val="0"/>
                <w:szCs w:val="21"/>
              </w:rPr>
            </w:pPr>
            <w:r>
              <w:rPr>
                <w:kern w:val="0"/>
                <w:szCs w:val="21"/>
              </w:rPr>
              <w:t>产品质量</w:t>
            </w:r>
          </w:p>
        </w:tc>
        <w:tc>
          <w:tcPr>
            <w:tcW w:w="1365" w:type="pct"/>
            <w:vAlign w:val="center"/>
          </w:tcPr>
          <w:p w14:paraId="464D8D4B">
            <w:pPr>
              <w:adjustRightInd w:val="0"/>
              <w:snapToGrid w:val="0"/>
              <w:spacing w:line="300" w:lineRule="auto"/>
              <w:jc w:val="center"/>
              <w:rPr>
                <w:kern w:val="0"/>
                <w:szCs w:val="21"/>
              </w:rPr>
            </w:pPr>
            <w:r>
              <w:rPr>
                <w:kern w:val="0"/>
                <w:szCs w:val="21"/>
              </w:rPr>
              <w:t>国家标准</w:t>
            </w:r>
          </w:p>
        </w:tc>
        <w:tc>
          <w:tcPr>
            <w:tcW w:w="1391" w:type="pct"/>
            <w:vAlign w:val="center"/>
          </w:tcPr>
          <w:p w14:paraId="7EC1E5D5">
            <w:pPr>
              <w:adjustRightInd w:val="0"/>
              <w:snapToGrid w:val="0"/>
              <w:spacing w:line="300" w:lineRule="auto"/>
              <w:jc w:val="center"/>
              <w:rPr>
                <w:kern w:val="0"/>
                <w:szCs w:val="21"/>
              </w:rPr>
            </w:pPr>
            <w:r>
              <w:rPr>
                <w:kern w:val="0"/>
                <w:szCs w:val="21"/>
              </w:rPr>
              <w:t>企业标准</w:t>
            </w:r>
          </w:p>
          <w:p w14:paraId="08CBDF07">
            <w:pPr>
              <w:adjustRightInd w:val="0"/>
              <w:snapToGrid w:val="0"/>
              <w:spacing w:line="300" w:lineRule="auto"/>
              <w:jc w:val="center"/>
              <w:rPr>
                <w:kern w:val="0"/>
                <w:szCs w:val="21"/>
              </w:rPr>
            </w:pPr>
            <w:r>
              <w:rPr>
                <w:kern w:val="0"/>
                <w:szCs w:val="21"/>
              </w:rPr>
              <w:t>电梯部件检验规范</w:t>
            </w:r>
          </w:p>
        </w:tc>
        <w:tc>
          <w:tcPr>
            <w:tcW w:w="610" w:type="pct"/>
            <w:vAlign w:val="center"/>
          </w:tcPr>
          <w:p w14:paraId="6EC273C1">
            <w:pPr>
              <w:adjustRightInd w:val="0"/>
              <w:snapToGrid w:val="0"/>
              <w:spacing w:line="300" w:lineRule="auto"/>
              <w:jc w:val="center"/>
              <w:rPr>
                <w:kern w:val="0"/>
                <w:szCs w:val="21"/>
              </w:rPr>
            </w:pPr>
            <w:r>
              <w:rPr>
                <w:kern w:val="0"/>
                <w:szCs w:val="21"/>
              </w:rPr>
              <w:t>内部检测</w:t>
            </w:r>
          </w:p>
          <w:p w14:paraId="79349E13">
            <w:pPr>
              <w:adjustRightInd w:val="0"/>
              <w:snapToGrid w:val="0"/>
              <w:spacing w:line="300" w:lineRule="auto"/>
              <w:jc w:val="center"/>
              <w:rPr>
                <w:kern w:val="0"/>
                <w:szCs w:val="21"/>
              </w:rPr>
            </w:pPr>
            <w:r>
              <w:rPr>
                <w:kern w:val="0"/>
                <w:szCs w:val="21"/>
              </w:rPr>
              <w:t>外部监控</w:t>
            </w:r>
          </w:p>
        </w:tc>
      </w:tr>
      <w:tr w14:paraId="5B47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Merge w:val="restart"/>
            <w:vAlign w:val="center"/>
          </w:tcPr>
          <w:p w14:paraId="13E8A124">
            <w:pPr>
              <w:adjustRightInd w:val="0"/>
              <w:snapToGrid w:val="0"/>
              <w:spacing w:line="300" w:lineRule="auto"/>
              <w:jc w:val="center"/>
              <w:rPr>
                <w:kern w:val="0"/>
                <w:szCs w:val="21"/>
              </w:rPr>
            </w:pPr>
            <w:r>
              <w:rPr>
                <w:kern w:val="0"/>
                <w:szCs w:val="21"/>
              </w:rPr>
              <w:t>环境保护</w:t>
            </w:r>
          </w:p>
        </w:tc>
        <w:tc>
          <w:tcPr>
            <w:tcW w:w="1024" w:type="pct"/>
            <w:vAlign w:val="center"/>
          </w:tcPr>
          <w:p w14:paraId="08ED0E29">
            <w:pPr>
              <w:adjustRightInd w:val="0"/>
              <w:snapToGrid w:val="0"/>
              <w:spacing w:line="300" w:lineRule="auto"/>
              <w:jc w:val="center"/>
              <w:rPr>
                <w:kern w:val="0"/>
                <w:szCs w:val="21"/>
              </w:rPr>
            </w:pPr>
            <w:r>
              <w:rPr>
                <w:kern w:val="0"/>
                <w:szCs w:val="21"/>
              </w:rPr>
              <w:t>废水</w:t>
            </w:r>
          </w:p>
          <w:p w14:paraId="2C734A34">
            <w:pPr>
              <w:adjustRightInd w:val="0"/>
              <w:snapToGrid w:val="0"/>
              <w:spacing w:line="300" w:lineRule="auto"/>
              <w:jc w:val="center"/>
              <w:rPr>
                <w:kern w:val="0"/>
                <w:szCs w:val="21"/>
              </w:rPr>
            </w:pPr>
            <w:r>
              <w:rPr>
                <w:kern w:val="0"/>
                <w:szCs w:val="21"/>
              </w:rPr>
              <w:t>（污水排放）</w:t>
            </w:r>
          </w:p>
        </w:tc>
        <w:tc>
          <w:tcPr>
            <w:tcW w:w="1365" w:type="pct"/>
            <w:vAlign w:val="center"/>
          </w:tcPr>
          <w:p w14:paraId="6DB3FC95">
            <w:pPr>
              <w:adjustRightInd w:val="0"/>
              <w:snapToGrid w:val="0"/>
              <w:spacing w:line="300" w:lineRule="auto"/>
              <w:jc w:val="center"/>
              <w:rPr>
                <w:kern w:val="0"/>
                <w:szCs w:val="21"/>
              </w:rPr>
            </w:pPr>
            <w:r>
              <w:rPr>
                <w:kern w:val="0"/>
                <w:szCs w:val="21"/>
              </w:rPr>
              <w:t>《污水综合排放标准》</w:t>
            </w:r>
          </w:p>
        </w:tc>
        <w:tc>
          <w:tcPr>
            <w:tcW w:w="1391" w:type="pct"/>
            <w:vMerge w:val="restart"/>
            <w:vAlign w:val="center"/>
          </w:tcPr>
          <w:p w14:paraId="14D4312A">
            <w:pPr>
              <w:adjustRightInd w:val="0"/>
              <w:snapToGrid w:val="0"/>
              <w:spacing w:line="300" w:lineRule="auto"/>
              <w:jc w:val="center"/>
              <w:rPr>
                <w:kern w:val="0"/>
                <w:szCs w:val="21"/>
              </w:rPr>
            </w:pPr>
            <w:r>
              <w:rPr>
                <w:kern w:val="0"/>
                <w:szCs w:val="21"/>
              </w:rPr>
              <w:t>《废水、废气、噪声管理控制程序》</w:t>
            </w:r>
          </w:p>
          <w:p w14:paraId="70B0B96F">
            <w:pPr>
              <w:adjustRightInd w:val="0"/>
              <w:snapToGrid w:val="0"/>
              <w:spacing w:line="300" w:lineRule="auto"/>
              <w:jc w:val="center"/>
              <w:rPr>
                <w:kern w:val="0"/>
                <w:szCs w:val="21"/>
              </w:rPr>
            </w:pPr>
            <w:r>
              <w:rPr>
                <w:kern w:val="0"/>
                <w:szCs w:val="21"/>
              </w:rPr>
              <w:t>《环境应急预案》</w:t>
            </w:r>
          </w:p>
          <w:p w14:paraId="5275ED60">
            <w:pPr>
              <w:adjustRightInd w:val="0"/>
              <w:snapToGrid w:val="0"/>
              <w:spacing w:line="300" w:lineRule="auto"/>
              <w:jc w:val="center"/>
              <w:rPr>
                <w:kern w:val="0"/>
                <w:szCs w:val="21"/>
              </w:rPr>
            </w:pPr>
            <w:r>
              <w:rPr>
                <w:kern w:val="0"/>
                <w:szCs w:val="21"/>
              </w:rPr>
              <w:t>《固体废弃物控制程序》</w:t>
            </w:r>
          </w:p>
          <w:p w14:paraId="271EDE0F">
            <w:pPr>
              <w:adjustRightInd w:val="0"/>
              <w:snapToGrid w:val="0"/>
              <w:spacing w:line="300" w:lineRule="auto"/>
              <w:jc w:val="center"/>
              <w:rPr>
                <w:kern w:val="0"/>
                <w:szCs w:val="21"/>
              </w:rPr>
            </w:pPr>
            <w:r>
              <w:rPr>
                <w:kern w:val="0"/>
                <w:szCs w:val="21"/>
              </w:rPr>
              <w:t>所有排放均达国家标准</w:t>
            </w:r>
          </w:p>
        </w:tc>
        <w:tc>
          <w:tcPr>
            <w:tcW w:w="610" w:type="pct"/>
            <w:vMerge w:val="restart"/>
            <w:vAlign w:val="center"/>
          </w:tcPr>
          <w:p w14:paraId="3D908DDF">
            <w:pPr>
              <w:adjustRightInd w:val="0"/>
              <w:snapToGrid w:val="0"/>
              <w:spacing w:line="300" w:lineRule="auto"/>
              <w:jc w:val="center"/>
              <w:rPr>
                <w:kern w:val="0"/>
                <w:szCs w:val="21"/>
              </w:rPr>
            </w:pPr>
            <w:r>
              <w:rPr>
                <w:kern w:val="0"/>
                <w:szCs w:val="21"/>
              </w:rPr>
              <w:t>委外监测</w:t>
            </w:r>
          </w:p>
          <w:p w14:paraId="2C707D2A">
            <w:pPr>
              <w:adjustRightInd w:val="0"/>
              <w:snapToGrid w:val="0"/>
              <w:spacing w:line="300" w:lineRule="auto"/>
              <w:jc w:val="center"/>
              <w:rPr>
                <w:kern w:val="0"/>
                <w:szCs w:val="21"/>
              </w:rPr>
            </w:pPr>
            <w:r>
              <w:rPr>
                <w:kern w:val="0"/>
                <w:szCs w:val="21"/>
              </w:rPr>
              <w:t>自行控制</w:t>
            </w:r>
          </w:p>
        </w:tc>
      </w:tr>
      <w:tr w14:paraId="5095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Merge w:val="continue"/>
            <w:vAlign w:val="center"/>
          </w:tcPr>
          <w:p w14:paraId="7B3EB5B7">
            <w:pPr>
              <w:adjustRightInd w:val="0"/>
              <w:snapToGrid w:val="0"/>
              <w:spacing w:line="300" w:lineRule="auto"/>
              <w:jc w:val="center"/>
              <w:rPr>
                <w:kern w:val="0"/>
                <w:szCs w:val="21"/>
              </w:rPr>
            </w:pPr>
          </w:p>
        </w:tc>
        <w:tc>
          <w:tcPr>
            <w:tcW w:w="1024" w:type="pct"/>
            <w:vAlign w:val="center"/>
          </w:tcPr>
          <w:p w14:paraId="3CB01F1A">
            <w:pPr>
              <w:adjustRightInd w:val="0"/>
              <w:snapToGrid w:val="0"/>
              <w:spacing w:line="300" w:lineRule="auto"/>
              <w:jc w:val="center"/>
              <w:rPr>
                <w:kern w:val="0"/>
                <w:szCs w:val="21"/>
              </w:rPr>
            </w:pPr>
            <w:r>
              <w:rPr>
                <w:kern w:val="0"/>
                <w:szCs w:val="21"/>
              </w:rPr>
              <w:t>废气</w:t>
            </w:r>
          </w:p>
          <w:p w14:paraId="56F82483">
            <w:pPr>
              <w:adjustRightInd w:val="0"/>
              <w:snapToGrid w:val="0"/>
              <w:spacing w:line="300" w:lineRule="auto"/>
              <w:jc w:val="center"/>
              <w:rPr>
                <w:kern w:val="0"/>
                <w:szCs w:val="21"/>
              </w:rPr>
            </w:pPr>
            <w:r>
              <w:rPr>
                <w:kern w:val="0"/>
                <w:szCs w:val="21"/>
              </w:rPr>
              <w:t>（喷涂车间烘道废气、喷漆房废气）</w:t>
            </w:r>
          </w:p>
        </w:tc>
        <w:tc>
          <w:tcPr>
            <w:tcW w:w="1365" w:type="pct"/>
            <w:vAlign w:val="center"/>
          </w:tcPr>
          <w:p w14:paraId="6424280E">
            <w:pPr>
              <w:adjustRightInd w:val="0"/>
              <w:snapToGrid w:val="0"/>
              <w:spacing w:line="300" w:lineRule="auto"/>
              <w:jc w:val="center"/>
              <w:rPr>
                <w:kern w:val="0"/>
                <w:szCs w:val="21"/>
              </w:rPr>
            </w:pPr>
            <w:r>
              <w:rPr>
                <w:kern w:val="0"/>
                <w:szCs w:val="21"/>
              </w:rPr>
              <w:t>《大气污染物综合排放标准》</w:t>
            </w:r>
          </w:p>
        </w:tc>
        <w:tc>
          <w:tcPr>
            <w:tcW w:w="1391" w:type="pct"/>
            <w:vMerge w:val="continue"/>
            <w:vAlign w:val="center"/>
          </w:tcPr>
          <w:p w14:paraId="25E11203">
            <w:pPr>
              <w:adjustRightInd w:val="0"/>
              <w:snapToGrid w:val="0"/>
              <w:spacing w:line="300" w:lineRule="auto"/>
              <w:jc w:val="center"/>
              <w:rPr>
                <w:kern w:val="0"/>
                <w:szCs w:val="21"/>
              </w:rPr>
            </w:pPr>
          </w:p>
        </w:tc>
        <w:tc>
          <w:tcPr>
            <w:tcW w:w="610" w:type="pct"/>
            <w:vMerge w:val="continue"/>
            <w:vAlign w:val="center"/>
          </w:tcPr>
          <w:p w14:paraId="37F8741E">
            <w:pPr>
              <w:adjustRightInd w:val="0"/>
              <w:snapToGrid w:val="0"/>
              <w:spacing w:line="300" w:lineRule="auto"/>
              <w:jc w:val="center"/>
              <w:rPr>
                <w:kern w:val="0"/>
                <w:szCs w:val="21"/>
              </w:rPr>
            </w:pPr>
          </w:p>
        </w:tc>
      </w:tr>
      <w:tr w14:paraId="2643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Merge w:val="continue"/>
            <w:vAlign w:val="center"/>
          </w:tcPr>
          <w:p w14:paraId="0871B50A">
            <w:pPr>
              <w:adjustRightInd w:val="0"/>
              <w:snapToGrid w:val="0"/>
              <w:spacing w:line="300" w:lineRule="auto"/>
              <w:jc w:val="center"/>
              <w:rPr>
                <w:kern w:val="0"/>
                <w:szCs w:val="21"/>
              </w:rPr>
            </w:pPr>
          </w:p>
        </w:tc>
        <w:tc>
          <w:tcPr>
            <w:tcW w:w="1024" w:type="pct"/>
            <w:vAlign w:val="center"/>
          </w:tcPr>
          <w:p w14:paraId="48685821">
            <w:pPr>
              <w:adjustRightInd w:val="0"/>
              <w:snapToGrid w:val="0"/>
              <w:spacing w:line="300" w:lineRule="auto"/>
              <w:jc w:val="center"/>
              <w:rPr>
                <w:kern w:val="0"/>
                <w:szCs w:val="21"/>
              </w:rPr>
            </w:pPr>
            <w:r>
              <w:rPr>
                <w:kern w:val="0"/>
                <w:szCs w:val="21"/>
              </w:rPr>
              <w:t>固废</w:t>
            </w:r>
          </w:p>
          <w:p w14:paraId="7E4DFDB4">
            <w:pPr>
              <w:adjustRightInd w:val="0"/>
              <w:snapToGrid w:val="0"/>
              <w:spacing w:line="300" w:lineRule="auto"/>
              <w:jc w:val="center"/>
              <w:rPr>
                <w:kern w:val="0"/>
                <w:szCs w:val="21"/>
              </w:rPr>
            </w:pPr>
            <w:r>
              <w:rPr>
                <w:kern w:val="0"/>
                <w:szCs w:val="21"/>
              </w:rPr>
              <w:t>（有害废弃物）</w:t>
            </w:r>
          </w:p>
        </w:tc>
        <w:tc>
          <w:tcPr>
            <w:tcW w:w="1365" w:type="pct"/>
            <w:vAlign w:val="center"/>
          </w:tcPr>
          <w:p w14:paraId="59ABF073">
            <w:pPr>
              <w:adjustRightInd w:val="0"/>
              <w:snapToGrid w:val="0"/>
              <w:spacing w:line="300" w:lineRule="auto"/>
              <w:jc w:val="left"/>
              <w:rPr>
                <w:kern w:val="0"/>
                <w:szCs w:val="21"/>
              </w:rPr>
            </w:pPr>
            <w:r>
              <w:rPr>
                <w:kern w:val="0"/>
                <w:szCs w:val="21"/>
              </w:rPr>
              <w:t>《中华人民共和国固体废物污染防治法》</w:t>
            </w:r>
          </w:p>
          <w:p w14:paraId="5571062F">
            <w:pPr>
              <w:adjustRightInd w:val="0"/>
              <w:snapToGrid w:val="0"/>
              <w:spacing w:line="300" w:lineRule="auto"/>
              <w:jc w:val="left"/>
              <w:rPr>
                <w:kern w:val="0"/>
                <w:szCs w:val="21"/>
              </w:rPr>
            </w:pPr>
            <w:r>
              <w:rPr>
                <w:kern w:val="0"/>
                <w:szCs w:val="21"/>
              </w:rPr>
              <w:t>《一般工业固体废物贮存、处置场污染物控制标准》</w:t>
            </w:r>
          </w:p>
          <w:p w14:paraId="0841D1D8">
            <w:pPr>
              <w:adjustRightInd w:val="0"/>
              <w:snapToGrid w:val="0"/>
              <w:spacing w:line="300" w:lineRule="auto"/>
              <w:jc w:val="center"/>
              <w:rPr>
                <w:kern w:val="0"/>
                <w:szCs w:val="21"/>
              </w:rPr>
            </w:pPr>
            <w:r>
              <w:rPr>
                <w:kern w:val="0"/>
                <w:szCs w:val="21"/>
              </w:rPr>
              <w:t>《危险废物贮存污染物控制标准》</w:t>
            </w:r>
          </w:p>
        </w:tc>
        <w:tc>
          <w:tcPr>
            <w:tcW w:w="1391" w:type="pct"/>
            <w:vMerge w:val="continue"/>
            <w:vAlign w:val="center"/>
          </w:tcPr>
          <w:p w14:paraId="78C1E5CE">
            <w:pPr>
              <w:adjustRightInd w:val="0"/>
              <w:snapToGrid w:val="0"/>
              <w:spacing w:line="300" w:lineRule="auto"/>
              <w:jc w:val="center"/>
              <w:rPr>
                <w:kern w:val="0"/>
                <w:szCs w:val="21"/>
              </w:rPr>
            </w:pPr>
          </w:p>
        </w:tc>
        <w:tc>
          <w:tcPr>
            <w:tcW w:w="610" w:type="pct"/>
            <w:vMerge w:val="continue"/>
            <w:vAlign w:val="center"/>
          </w:tcPr>
          <w:p w14:paraId="4DED33A6">
            <w:pPr>
              <w:adjustRightInd w:val="0"/>
              <w:snapToGrid w:val="0"/>
              <w:spacing w:line="300" w:lineRule="auto"/>
              <w:jc w:val="center"/>
              <w:rPr>
                <w:kern w:val="0"/>
                <w:szCs w:val="21"/>
              </w:rPr>
            </w:pPr>
          </w:p>
        </w:tc>
      </w:tr>
      <w:tr w14:paraId="7E39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Merge w:val="continue"/>
            <w:vAlign w:val="center"/>
          </w:tcPr>
          <w:p w14:paraId="463297DE">
            <w:pPr>
              <w:adjustRightInd w:val="0"/>
              <w:snapToGrid w:val="0"/>
              <w:spacing w:line="300" w:lineRule="auto"/>
              <w:jc w:val="center"/>
              <w:rPr>
                <w:kern w:val="0"/>
                <w:szCs w:val="21"/>
              </w:rPr>
            </w:pPr>
          </w:p>
        </w:tc>
        <w:tc>
          <w:tcPr>
            <w:tcW w:w="1024" w:type="pct"/>
            <w:vAlign w:val="center"/>
          </w:tcPr>
          <w:p w14:paraId="797A760C">
            <w:pPr>
              <w:adjustRightInd w:val="0"/>
              <w:snapToGrid w:val="0"/>
              <w:spacing w:line="300" w:lineRule="auto"/>
              <w:jc w:val="center"/>
              <w:rPr>
                <w:kern w:val="0"/>
                <w:szCs w:val="21"/>
              </w:rPr>
            </w:pPr>
            <w:r>
              <w:rPr>
                <w:kern w:val="0"/>
                <w:szCs w:val="21"/>
              </w:rPr>
              <w:t>噪音</w:t>
            </w:r>
          </w:p>
          <w:p w14:paraId="5CE50435">
            <w:pPr>
              <w:adjustRightInd w:val="0"/>
              <w:snapToGrid w:val="0"/>
              <w:spacing w:line="300" w:lineRule="auto"/>
              <w:jc w:val="center"/>
              <w:rPr>
                <w:kern w:val="0"/>
                <w:szCs w:val="21"/>
              </w:rPr>
            </w:pPr>
            <w:r>
              <w:rPr>
                <w:kern w:val="0"/>
                <w:szCs w:val="21"/>
              </w:rPr>
              <w:t>（抛光、打磨、整形）</w:t>
            </w:r>
          </w:p>
        </w:tc>
        <w:tc>
          <w:tcPr>
            <w:tcW w:w="1365" w:type="pct"/>
            <w:vAlign w:val="center"/>
          </w:tcPr>
          <w:p w14:paraId="23ED6552">
            <w:pPr>
              <w:adjustRightInd w:val="0"/>
              <w:snapToGrid w:val="0"/>
              <w:spacing w:line="300" w:lineRule="auto"/>
              <w:jc w:val="center"/>
              <w:rPr>
                <w:kern w:val="0"/>
                <w:szCs w:val="21"/>
              </w:rPr>
            </w:pPr>
            <w:r>
              <w:rPr>
                <w:kern w:val="0"/>
                <w:szCs w:val="21"/>
              </w:rPr>
              <w:t>《工业企业厂界环境噪声排放标准》</w:t>
            </w:r>
          </w:p>
        </w:tc>
        <w:tc>
          <w:tcPr>
            <w:tcW w:w="1391" w:type="pct"/>
            <w:vMerge w:val="continue"/>
            <w:vAlign w:val="center"/>
          </w:tcPr>
          <w:p w14:paraId="5B1E91F6">
            <w:pPr>
              <w:adjustRightInd w:val="0"/>
              <w:snapToGrid w:val="0"/>
              <w:spacing w:line="300" w:lineRule="auto"/>
              <w:jc w:val="center"/>
              <w:rPr>
                <w:kern w:val="0"/>
                <w:szCs w:val="21"/>
              </w:rPr>
            </w:pPr>
          </w:p>
        </w:tc>
        <w:tc>
          <w:tcPr>
            <w:tcW w:w="610" w:type="pct"/>
            <w:vMerge w:val="continue"/>
            <w:vAlign w:val="center"/>
          </w:tcPr>
          <w:p w14:paraId="798C2C52">
            <w:pPr>
              <w:adjustRightInd w:val="0"/>
              <w:snapToGrid w:val="0"/>
              <w:spacing w:line="300" w:lineRule="auto"/>
              <w:jc w:val="center"/>
              <w:rPr>
                <w:kern w:val="0"/>
                <w:szCs w:val="21"/>
              </w:rPr>
            </w:pPr>
          </w:p>
        </w:tc>
      </w:tr>
      <w:tr w14:paraId="09D7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Merge w:val="restart"/>
            <w:vAlign w:val="center"/>
          </w:tcPr>
          <w:p w14:paraId="7044DF7B">
            <w:pPr>
              <w:adjustRightInd w:val="0"/>
              <w:snapToGrid w:val="0"/>
              <w:spacing w:line="300" w:lineRule="auto"/>
              <w:jc w:val="center"/>
              <w:rPr>
                <w:kern w:val="0"/>
                <w:szCs w:val="21"/>
              </w:rPr>
            </w:pPr>
            <w:r>
              <w:rPr>
                <w:kern w:val="0"/>
                <w:szCs w:val="21"/>
              </w:rPr>
              <w:t>节能降耗</w:t>
            </w:r>
          </w:p>
        </w:tc>
        <w:tc>
          <w:tcPr>
            <w:tcW w:w="1024" w:type="pct"/>
            <w:vAlign w:val="center"/>
          </w:tcPr>
          <w:p w14:paraId="6888D741">
            <w:pPr>
              <w:adjustRightInd w:val="0"/>
              <w:snapToGrid w:val="0"/>
              <w:spacing w:line="300" w:lineRule="auto"/>
              <w:jc w:val="center"/>
              <w:rPr>
                <w:kern w:val="0"/>
                <w:szCs w:val="21"/>
              </w:rPr>
            </w:pPr>
            <w:r>
              <w:rPr>
                <w:kern w:val="0"/>
                <w:szCs w:val="21"/>
              </w:rPr>
              <w:t>水、电等能源消耗、废弃物的处置</w:t>
            </w:r>
          </w:p>
        </w:tc>
        <w:tc>
          <w:tcPr>
            <w:tcW w:w="1365" w:type="pct"/>
            <w:vAlign w:val="center"/>
          </w:tcPr>
          <w:p w14:paraId="47B4D051">
            <w:pPr>
              <w:adjustRightInd w:val="0"/>
              <w:snapToGrid w:val="0"/>
              <w:spacing w:line="300" w:lineRule="auto"/>
              <w:jc w:val="center"/>
              <w:rPr>
                <w:kern w:val="0"/>
                <w:szCs w:val="21"/>
              </w:rPr>
            </w:pPr>
            <w:r>
              <w:rPr>
                <w:kern w:val="0"/>
                <w:szCs w:val="21"/>
              </w:rPr>
              <w:t>国家节能减排法规</w:t>
            </w:r>
          </w:p>
          <w:p w14:paraId="666B03EB">
            <w:pPr>
              <w:adjustRightInd w:val="0"/>
              <w:snapToGrid w:val="0"/>
              <w:spacing w:line="300" w:lineRule="auto"/>
              <w:jc w:val="center"/>
              <w:rPr>
                <w:kern w:val="0"/>
                <w:szCs w:val="21"/>
              </w:rPr>
            </w:pPr>
            <w:r>
              <w:rPr>
                <w:kern w:val="0"/>
                <w:szCs w:val="21"/>
              </w:rPr>
              <w:t>ISO14001管理体系</w:t>
            </w:r>
          </w:p>
        </w:tc>
        <w:tc>
          <w:tcPr>
            <w:tcW w:w="1391" w:type="pct"/>
            <w:vAlign w:val="center"/>
          </w:tcPr>
          <w:p w14:paraId="3C4BC6E7">
            <w:pPr>
              <w:adjustRightInd w:val="0"/>
              <w:snapToGrid w:val="0"/>
              <w:spacing w:line="300" w:lineRule="auto"/>
              <w:jc w:val="center"/>
              <w:rPr>
                <w:kern w:val="0"/>
                <w:szCs w:val="21"/>
              </w:rPr>
            </w:pPr>
            <w:r>
              <w:rPr>
                <w:kern w:val="0"/>
                <w:szCs w:val="21"/>
              </w:rPr>
              <w:t>万元产值综合能耗（吨标煤/万元）未考核指标，落实到各级管理人员进行考核</w:t>
            </w:r>
          </w:p>
        </w:tc>
        <w:tc>
          <w:tcPr>
            <w:tcW w:w="610" w:type="pct"/>
            <w:vAlign w:val="center"/>
          </w:tcPr>
          <w:p w14:paraId="589503D9">
            <w:pPr>
              <w:adjustRightInd w:val="0"/>
              <w:snapToGrid w:val="0"/>
              <w:spacing w:line="300" w:lineRule="auto"/>
              <w:jc w:val="center"/>
              <w:rPr>
                <w:kern w:val="0"/>
                <w:szCs w:val="21"/>
              </w:rPr>
            </w:pPr>
            <w:r>
              <w:rPr>
                <w:kern w:val="0"/>
                <w:szCs w:val="21"/>
              </w:rPr>
              <w:t>统计计算</w:t>
            </w:r>
          </w:p>
        </w:tc>
      </w:tr>
      <w:tr w14:paraId="61EB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Merge w:val="continue"/>
            <w:vAlign w:val="center"/>
          </w:tcPr>
          <w:p w14:paraId="7C419D70">
            <w:pPr>
              <w:adjustRightInd w:val="0"/>
              <w:snapToGrid w:val="0"/>
              <w:spacing w:line="300" w:lineRule="auto"/>
              <w:jc w:val="center"/>
              <w:rPr>
                <w:kern w:val="0"/>
                <w:szCs w:val="21"/>
              </w:rPr>
            </w:pPr>
          </w:p>
        </w:tc>
        <w:tc>
          <w:tcPr>
            <w:tcW w:w="1024" w:type="pct"/>
            <w:vAlign w:val="center"/>
          </w:tcPr>
          <w:p w14:paraId="4F8B941B">
            <w:pPr>
              <w:adjustRightInd w:val="0"/>
              <w:snapToGrid w:val="0"/>
              <w:spacing w:line="300" w:lineRule="auto"/>
              <w:jc w:val="center"/>
              <w:rPr>
                <w:kern w:val="0"/>
                <w:szCs w:val="21"/>
              </w:rPr>
            </w:pPr>
            <w:r>
              <w:rPr>
                <w:kern w:val="0"/>
                <w:szCs w:val="21"/>
              </w:rPr>
              <w:t>电、水资源紧缺等带来的能源危机</w:t>
            </w:r>
          </w:p>
        </w:tc>
        <w:tc>
          <w:tcPr>
            <w:tcW w:w="1365" w:type="pct"/>
            <w:vAlign w:val="center"/>
          </w:tcPr>
          <w:p w14:paraId="7EF1F4BD">
            <w:pPr>
              <w:adjustRightInd w:val="0"/>
              <w:snapToGrid w:val="0"/>
              <w:spacing w:line="300" w:lineRule="auto"/>
              <w:jc w:val="center"/>
              <w:rPr>
                <w:kern w:val="0"/>
                <w:szCs w:val="21"/>
              </w:rPr>
            </w:pPr>
            <w:r>
              <w:rPr>
                <w:kern w:val="0"/>
                <w:szCs w:val="21"/>
              </w:rPr>
              <w:t>《中华人民共和国计量法》《计量法实施细则》</w:t>
            </w:r>
          </w:p>
        </w:tc>
        <w:tc>
          <w:tcPr>
            <w:tcW w:w="1391" w:type="pct"/>
            <w:vAlign w:val="center"/>
          </w:tcPr>
          <w:p w14:paraId="50AAD8C8">
            <w:pPr>
              <w:adjustRightInd w:val="0"/>
              <w:snapToGrid w:val="0"/>
              <w:spacing w:line="300" w:lineRule="auto"/>
              <w:jc w:val="center"/>
              <w:rPr>
                <w:kern w:val="0"/>
                <w:szCs w:val="21"/>
              </w:rPr>
            </w:pPr>
            <w:r>
              <w:rPr>
                <w:kern w:val="0"/>
                <w:szCs w:val="21"/>
              </w:rPr>
              <w:t>按照公司制定的相关节能规章制度，节能管理规范和节能计划来执行</w:t>
            </w:r>
          </w:p>
        </w:tc>
        <w:tc>
          <w:tcPr>
            <w:tcW w:w="610" w:type="pct"/>
            <w:vAlign w:val="center"/>
          </w:tcPr>
          <w:p w14:paraId="1C73545D">
            <w:pPr>
              <w:adjustRightInd w:val="0"/>
              <w:snapToGrid w:val="0"/>
              <w:spacing w:line="300" w:lineRule="auto"/>
              <w:jc w:val="center"/>
              <w:rPr>
                <w:kern w:val="0"/>
                <w:szCs w:val="21"/>
              </w:rPr>
            </w:pPr>
            <w:r>
              <w:rPr>
                <w:kern w:val="0"/>
                <w:szCs w:val="21"/>
              </w:rPr>
              <w:t>内部监测</w:t>
            </w:r>
          </w:p>
        </w:tc>
      </w:tr>
      <w:tr w14:paraId="3FD6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786B69CB">
            <w:pPr>
              <w:adjustRightInd w:val="0"/>
              <w:snapToGrid w:val="0"/>
              <w:spacing w:line="300" w:lineRule="auto"/>
              <w:jc w:val="center"/>
              <w:rPr>
                <w:kern w:val="0"/>
                <w:szCs w:val="21"/>
              </w:rPr>
            </w:pPr>
            <w:r>
              <w:rPr>
                <w:kern w:val="0"/>
                <w:szCs w:val="21"/>
              </w:rPr>
              <w:t>安全生产</w:t>
            </w:r>
          </w:p>
        </w:tc>
        <w:tc>
          <w:tcPr>
            <w:tcW w:w="1024" w:type="pct"/>
            <w:vAlign w:val="center"/>
          </w:tcPr>
          <w:p w14:paraId="5B72464D">
            <w:pPr>
              <w:adjustRightInd w:val="0"/>
              <w:snapToGrid w:val="0"/>
              <w:spacing w:line="300" w:lineRule="auto"/>
              <w:jc w:val="center"/>
              <w:rPr>
                <w:kern w:val="0"/>
                <w:szCs w:val="21"/>
              </w:rPr>
            </w:pPr>
            <w:r>
              <w:rPr>
                <w:kern w:val="0"/>
                <w:szCs w:val="21"/>
              </w:rPr>
              <w:t>火灾和爆炸事故</w:t>
            </w:r>
          </w:p>
        </w:tc>
        <w:tc>
          <w:tcPr>
            <w:tcW w:w="1365" w:type="pct"/>
            <w:vAlign w:val="center"/>
          </w:tcPr>
          <w:p w14:paraId="4720E5DF">
            <w:pPr>
              <w:adjustRightInd w:val="0"/>
              <w:snapToGrid w:val="0"/>
              <w:spacing w:line="300" w:lineRule="auto"/>
              <w:jc w:val="center"/>
              <w:rPr>
                <w:kern w:val="0"/>
                <w:szCs w:val="21"/>
              </w:rPr>
            </w:pPr>
            <w:r>
              <w:rPr>
                <w:kern w:val="0"/>
                <w:szCs w:val="21"/>
              </w:rPr>
              <w:t>《劳动合同法》《安全生产法》《职业病防治法》</w:t>
            </w:r>
          </w:p>
        </w:tc>
        <w:tc>
          <w:tcPr>
            <w:tcW w:w="1391" w:type="pct"/>
            <w:vAlign w:val="center"/>
          </w:tcPr>
          <w:p w14:paraId="2703CE7E">
            <w:pPr>
              <w:adjustRightInd w:val="0"/>
              <w:snapToGrid w:val="0"/>
              <w:spacing w:line="300" w:lineRule="auto"/>
              <w:jc w:val="center"/>
              <w:rPr>
                <w:kern w:val="0"/>
                <w:szCs w:val="21"/>
              </w:rPr>
            </w:pPr>
            <w:r>
              <w:rPr>
                <w:kern w:val="0"/>
                <w:szCs w:val="21"/>
              </w:rPr>
              <w:t>《消防管理规定》</w:t>
            </w:r>
          </w:p>
          <w:p w14:paraId="2B94A228">
            <w:pPr>
              <w:adjustRightInd w:val="0"/>
              <w:snapToGrid w:val="0"/>
              <w:spacing w:line="300" w:lineRule="auto"/>
              <w:jc w:val="center"/>
              <w:rPr>
                <w:kern w:val="0"/>
                <w:szCs w:val="21"/>
              </w:rPr>
            </w:pPr>
            <w:r>
              <w:rPr>
                <w:kern w:val="0"/>
                <w:szCs w:val="21"/>
              </w:rPr>
              <w:t>《火灾/爆炸应急准备与响应预案》</w:t>
            </w:r>
          </w:p>
          <w:p w14:paraId="3ED9C429">
            <w:pPr>
              <w:adjustRightInd w:val="0"/>
              <w:snapToGrid w:val="0"/>
              <w:spacing w:line="300" w:lineRule="auto"/>
              <w:jc w:val="center"/>
              <w:rPr>
                <w:kern w:val="0"/>
                <w:szCs w:val="21"/>
              </w:rPr>
            </w:pPr>
            <w:r>
              <w:rPr>
                <w:kern w:val="0"/>
                <w:szCs w:val="21"/>
              </w:rPr>
              <w:t>《安全操作规程》</w:t>
            </w:r>
          </w:p>
        </w:tc>
        <w:tc>
          <w:tcPr>
            <w:tcW w:w="610" w:type="pct"/>
            <w:vAlign w:val="center"/>
          </w:tcPr>
          <w:p w14:paraId="4DA697FD">
            <w:pPr>
              <w:adjustRightInd w:val="0"/>
              <w:snapToGrid w:val="0"/>
              <w:spacing w:line="300" w:lineRule="auto"/>
              <w:jc w:val="center"/>
              <w:rPr>
                <w:kern w:val="0"/>
                <w:szCs w:val="21"/>
              </w:rPr>
            </w:pPr>
            <w:r>
              <w:rPr>
                <w:kern w:val="0"/>
                <w:szCs w:val="21"/>
              </w:rPr>
              <w:t>定期监测</w:t>
            </w:r>
          </w:p>
        </w:tc>
      </w:tr>
      <w:tr w14:paraId="2CE2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2041C5BD">
            <w:pPr>
              <w:adjustRightInd w:val="0"/>
              <w:snapToGrid w:val="0"/>
              <w:spacing w:line="300" w:lineRule="auto"/>
              <w:jc w:val="center"/>
              <w:rPr>
                <w:kern w:val="0"/>
                <w:szCs w:val="21"/>
              </w:rPr>
            </w:pPr>
            <w:r>
              <w:rPr>
                <w:kern w:val="0"/>
                <w:szCs w:val="21"/>
              </w:rPr>
              <w:t>职业健康</w:t>
            </w:r>
          </w:p>
        </w:tc>
        <w:tc>
          <w:tcPr>
            <w:tcW w:w="1024" w:type="pct"/>
            <w:vAlign w:val="center"/>
          </w:tcPr>
          <w:p w14:paraId="648380D9">
            <w:pPr>
              <w:adjustRightInd w:val="0"/>
              <w:snapToGrid w:val="0"/>
              <w:spacing w:line="300" w:lineRule="auto"/>
              <w:jc w:val="center"/>
              <w:rPr>
                <w:kern w:val="0"/>
                <w:szCs w:val="21"/>
              </w:rPr>
            </w:pPr>
            <w:r>
              <w:rPr>
                <w:kern w:val="0"/>
                <w:szCs w:val="21"/>
              </w:rPr>
              <w:t>疑似职业病</w:t>
            </w:r>
          </w:p>
          <w:p w14:paraId="3A90A1D6">
            <w:pPr>
              <w:adjustRightInd w:val="0"/>
              <w:snapToGrid w:val="0"/>
              <w:spacing w:line="300" w:lineRule="auto"/>
              <w:jc w:val="center"/>
              <w:rPr>
                <w:kern w:val="0"/>
                <w:szCs w:val="21"/>
              </w:rPr>
            </w:pPr>
            <w:r>
              <w:rPr>
                <w:kern w:val="0"/>
                <w:szCs w:val="21"/>
              </w:rPr>
              <w:t>职业病人数</w:t>
            </w:r>
          </w:p>
        </w:tc>
        <w:tc>
          <w:tcPr>
            <w:tcW w:w="1365" w:type="pct"/>
            <w:vAlign w:val="center"/>
          </w:tcPr>
          <w:p w14:paraId="4E0DDEA2">
            <w:pPr>
              <w:adjustRightInd w:val="0"/>
              <w:snapToGrid w:val="0"/>
              <w:spacing w:line="300" w:lineRule="auto"/>
              <w:jc w:val="center"/>
              <w:rPr>
                <w:kern w:val="0"/>
                <w:szCs w:val="21"/>
              </w:rPr>
            </w:pPr>
            <w:r>
              <w:rPr>
                <w:kern w:val="0"/>
                <w:szCs w:val="21"/>
              </w:rPr>
              <w:t>依法管理</w:t>
            </w:r>
          </w:p>
        </w:tc>
        <w:tc>
          <w:tcPr>
            <w:tcW w:w="1391" w:type="pct"/>
            <w:vAlign w:val="center"/>
          </w:tcPr>
          <w:p w14:paraId="2F75F621">
            <w:pPr>
              <w:adjustRightInd w:val="0"/>
              <w:snapToGrid w:val="0"/>
              <w:spacing w:line="300" w:lineRule="auto"/>
              <w:jc w:val="center"/>
              <w:rPr>
                <w:kern w:val="0"/>
                <w:szCs w:val="21"/>
              </w:rPr>
            </w:pPr>
            <w:r>
              <w:rPr>
                <w:kern w:val="0"/>
                <w:szCs w:val="21"/>
              </w:rPr>
              <w:t>《职业健康安全运行控制程序》</w:t>
            </w:r>
          </w:p>
        </w:tc>
        <w:tc>
          <w:tcPr>
            <w:tcW w:w="610" w:type="pct"/>
            <w:vAlign w:val="center"/>
          </w:tcPr>
          <w:p w14:paraId="2D0C53FB">
            <w:pPr>
              <w:adjustRightInd w:val="0"/>
              <w:snapToGrid w:val="0"/>
              <w:spacing w:line="300" w:lineRule="auto"/>
              <w:jc w:val="center"/>
              <w:rPr>
                <w:kern w:val="0"/>
                <w:szCs w:val="21"/>
              </w:rPr>
            </w:pPr>
            <w:r>
              <w:rPr>
                <w:kern w:val="0"/>
                <w:szCs w:val="21"/>
              </w:rPr>
              <w:t>员工体检</w:t>
            </w:r>
          </w:p>
        </w:tc>
      </w:tr>
      <w:tr w14:paraId="0FD8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379FD997">
            <w:pPr>
              <w:adjustRightInd w:val="0"/>
              <w:snapToGrid w:val="0"/>
              <w:spacing w:line="300" w:lineRule="auto"/>
              <w:jc w:val="center"/>
              <w:rPr>
                <w:kern w:val="0"/>
                <w:szCs w:val="21"/>
              </w:rPr>
            </w:pPr>
            <w:r>
              <w:rPr>
                <w:kern w:val="0"/>
                <w:szCs w:val="21"/>
              </w:rPr>
              <w:t>公共卫生</w:t>
            </w:r>
          </w:p>
        </w:tc>
        <w:tc>
          <w:tcPr>
            <w:tcW w:w="1024" w:type="pct"/>
            <w:vAlign w:val="center"/>
          </w:tcPr>
          <w:p w14:paraId="27F28EE3">
            <w:pPr>
              <w:adjustRightInd w:val="0"/>
              <w:snapToGrid w:val="0"/>
              <w:spacing w:line="300" w:lineRule="auto"/>
              <w:jc w:val="center"/>
              <w:rPr>
                <w:kern w:val="0"/>
                <w:szCs w:val="21"/>
              </w:rPr>
            </w:pPr>
            <w:r>
              <w:rPr>
                <w:kern w:val="0"/>
                <w:szCs w:val="21"/>
              </w:rPr>
              <w:t>食堂垃圾、生活污水、生活垃圾、危险固废</w:t>
            </w:r>
          </w:p>
        </w:tc>
        <w:tc>
          <w:tcPr>
            <w:tcW w:w="1365" w:type="pct"/>
            <w:vAlign w:val="center"/>
          </w:tcPr>
          <w:p w14:paraId="524C4632">
            <w:pPr>
              <w:adjustRightInd w:val="0"/>
              <w:snapToGrid w:val="0"/>
              <w:spacing w:line="300" w:lineRule="auto"/>
              <w:jc w:val="center"/>
              <w:rPr>
                <w:kern w:val="0"/>
                <w:szCs w:val="21"/>
              </w:rPr>
            </w:pPr>
            <w:r>
              <w:rPr>
                <w:kern w:val="0"/>
                <w:szCs w:val="21"/>
              </w:rPr>
              <w:t>ISO14001管理体系</w:t>
            </w:r>
          </w:p>
          <w:p w14:paraId="403EB092">
            <w:pPr>
              <w:adjustRightInd w:val="0"/>
              <w:snapToGrid w:val="0"/>
              <w:spacing w:line="300" w:lineRule="auto"/>
              <w:jc w:val="center"/>
              <w:rPr>
                <w:kern w:val="0"/>
                <w:szCs w:val="21"/>
              </w:rPr>
            </w:pPr>
            <w:r>
              <w:rPr>
                <w:kern w:val="0"/>
                <w:szCs w:val="21"/>
              </w:rPr>
              <w:t>《环境管理体系认证》</w:t>
            </w:r>
          </w:p>
          <w:p w14:paraId="0AF24E60">
            <w:pPr>
              <w:adjustRightInd w:val="0"/>
              <w:snapToGrid w:val="0"/>
              <w:spacing w:line="300" w:lineRule="auto"/>
              <w:jc w:val="center"/>
              <w:rPr>
                <w:kern w:val="0"/>
                <w:szCs w:val="21"/>
              </w:rPr>
            </w:pPr>
            <w:r>
              <w:rPr>
                <w:kern w:val="0"/>
                <w:szCs w:val="21"/>
              </w:rPr>
              <w:t>《环境保护法》</w:t>
            </w:r>
          </w:p>
        </w:tc>
        <w:tc>
          <w:tcPr>
            <w:tcW w:w="1391" w:type="pct"/>
            <w:vAlign w:val="center"/>
          </w:tcPr>
          <w:p w14:paraId="0CFFAB13">
            <w:pPr>
              <w:adjustRightInd w:val="0"/>
              <w:snapToGrid w:val="0"/>
              <w:spacing w:line="300" w:lineRule="auto"/>
              <w:jc w:val="center"/>
              <w:rPr>
                <w:kern w:val="0"/>
                <w:szCs w:val="21"/>
              </w:rPr>
            </w:pPr>
            <w:r>
              <w:rPr>
                <w:kern w:val="0"/>
                <w:szCs w:val="21"/>
              </w:rPr>
              <w:t>《废水、废气、噪声管理控制程序》</w:t>
            </w:r>
          </w:p>
          <w:p w14:paraId="21EE87D5">
            <w:pPr>
              <w:adjustRightInd w:val="0"/>
              <w:snapToGrid w:val="0"/>
              <w:spacing w:line="300" w:lineRule="auto"/>
              <w:jc w:val="center"/>
              <w:rPr>
                <w:kern w:val="0"/>
                <w:szCs w:val="21"/>
              </w:rPr>
            </w:pPr>
            <w:r>
              <w:rPr>
                <w:kern w:val="0"/>
                <w:szCs w:val="21"/>
              </w:rPr>
              <w:t>《环境应急预案》</w:t>
            </w:r>
          </w:p>
          <w:p w14:paraId="15D43D50">
            <w:pPr>
              <w:adjustRightInd w:val="0"/>
              <w:snapToGrid w:val="0"/>
              <w:spacing w:line="300" w:lineRule="auto"/>
              <w:jc w:val="center"/>
              <w:rPr>
                <w:kern w:val="0"/>
                <w:szCs w:val="21"/>
              </w:rPr>
            </w:pPr>
            <w:r>
              <w:rPr>
                <w:kern w:val="0"/>
                <w:szCs w:val="21"/>
              </w:rPr>
              <w:t>《固体废弃物控制程序》</w:t>
            </w:r>
          </w:p>
        </w:tc>
        <w:tc>
          <w:tcPr>
            <w:tcW w:w="610" w:type="pct"/>
            <w:vAlign w:val="center"/>
          </w:tcPr>
          <w:p w14:paraId="6D7EC9A1">
            <w:pPr>
              <w:adjustRightInd w:val="0"/>
              <w:snapToGrid w:val="0"/>
              <w:spacing w:line="300" w:lineRule="auto"/>
              <w:jc w:val="center"/>
              <w:rPr>
                <w:kern w:val="0"/>
                <w:szCs w:val="21"/>
              </w:rPr>
            </w:pPr>
            <w:r>
              <w:rPr>
                <w:kern w:val="0"/>
                <w:szCs w:val="21"/>
              </w:rPr>
              <w:t>外部监测</w:t>
            </w:r>
          </w:p>
        </w:tc>
      </w:tr>
    </w:tbl>
    <w:p w14:paraId="6CBDC8E7">
      <w:pPr>
        <w:adjustRightInd w:val="0"/>
        <w:snapToGrid w:val="0"/>
        <w:spacing w:line="300" w:lineRule="auto"/>
        <w:rPr>
          <w:rFonts w:ascii="方正仿宋简体" w:eastAsia="方正仿宋简体"/>
          <w:b/>
          <w:sz w:val="32"/>
          <w:szCs w:val="32"/>
        </w:rPr>
      </w:pPr>
    </w:p>
    <w:p w14:paraId="3EDB9BC4">
      <w:pPr>
        <w:adjustRightInd w:val="0"/>
        <w:snapToGrid w:val="0"/>
        <w:spacing w:line="300" w:lineRule="auto"/>
        <w:outlineLvl w:val="2"/>
        <w:rPr>
          <w:rFonts w:ascii="方正仿宋简体" w:eastAsia="方正仿宋简体"/>
          <w:b/>
          <w:sz w:val="28"/>
          <w:szCs w:val="28"/>
        </w:rPr>
      </w:pPr>
      <w:bookmarkStart w:id="93" w:name="_Toc32298"/>
      <w:r>
        <w:rPr>
          <w:rFonts w:hint="eastAsia" w:ascii="方正仿宋简体" w:eastAsia="方正仿宋简体"/>
          <w:b/>
          <w:sz w:val="28"/>
          <w:szCs w:val="28"/>
        </w:rPr>
        <w:t>2.4.2 性能对比</w:t>
      </w:r>
      <w:bookmarkEnd w:id="93"/>
    </w:p>
    <w:p w14:paraId="382F7B16">
      <w:pPr>
        <w:adjustRightInd w:val="0"/>
        <w:snapToGrid w:val="0"/>
        <w:spacing w:line="300" w:lineRule="auto"/>
        <w:jc w:val="center"/>
        <w:rPr>
          <w:rFonts w:ascii="方正仿宋简体" w:eastAsia="方正仿宋简体"/>
          <w:bCs/>
          <w:sz w:val="24"/>
        </w:rPr>
      </w:pPr>
      <w:r>
        <w:rPr>
          <w:rFonts w:ascii="方正仿宋简体" w:eastAsia="方正仿宋简体"/>
          <w:bCs/>
          <w:sz w:val="24"/>
        </w:rPr>
        <w:t>客梯性能对比表</w:t>
      </w:r>
    </w:p>
    <w:tbl>
      <w:tblPr>
        <w:tblStyle w:val="22"/>
        <w:tblW w:w="5000" w:type="pct"/>
        <w:tblInd w:w="0" w:type="dxa"/>
        <w:tblLayout w:type="autofit"/>
        <w:tblCellMar>
          <w:top w:w="0" w:type="dxa"/>
          <w:left w:w="108" w:type="dxa"/>
          <w:bottom w:w="0" w:type="dxa"/>
          <w:right w:w="108" w:type="dxa"/>
        </w:tblCellMar>
      </w:tblPr>
      <w:tblGrid>
        <w:gridCol w:w="1572"/>
        <w:gridCol w:w="2069"/>
        <w:gridCol w:w="1642"/>
        <w:gridCol w:w="1945"/>
        <w:gridCol w:w="1945"/>
      </w:tblGrid>
      <w:tr w14:paraId="6E6164C7">
        <w:tblPrEx>
          <w:tblCellMar>
            <w:top w:w="0" w:type="dxa"/>
            <w:left w:w="108" w:type="dxa"/>
            <w:bottom w:w="0" w:type="dxa"/>
            <w:right w:w="108" w:type="dxa"/>
          </w:tblCellMar>
        </w:tblPrEx>
        <w:tc>
          <w:tcPr>
            <w:tcW w:w="857" w:type="pct"/>
            <w:tcBorders>
              <w:top w:val="single" w:color="auto" w:sz="4" w:space="0"/>
              <w:left w:val="single" w:color="auto" w:sz="4" w:space="0"/>
              <w:bottom w:val="single" w:color="auto" w:sz="4" w:space="0"/>
              <w:right w:val="single" w:color="auto" w:sz="4" w:space="0"/>
            </w:tcBorders>
            <w:shd w:val="clear" w:color="auto" w:fill="183883"/>
            <w:noWrap/>
            <w:vAlign w:val="center"/>
          </w:tcPr>
          <w:p w14:paraId="799458BC">
            <w:pPr>
              <w:widowControl/>
              <w:jc w:val="center"/>
              <w:rPr>
                <w:b/>
                <w:bCs/>
                <w:color w:val="FFFFFF"/>
                <w:kern w:val="0"/>
                <w:sz w:val="24"/>
              </w:rPr>
            </w:pPr>
            <w:r>
              <w:rPr>
                <w:b/>
                <w:bCs/>
                <w:color w:val="FFFFFF"/>
                <w:kern w:val="0"/>
                <w:sz w:val="24"/>
              </w:rPr>
              <w:t>序号</w:t>
            </w:r>
          </w:p>
        </w:tc>
        <w:tc>
          <w:tcPr>
            <w:tcW w:w="1128" w:type="pct"/>
            <w:tcBorders>
              <w:top w:val="single" w:color="auto" w:sz="4" w:space="0"/>
              <w:left w:val="nil"/>
              <w:bottom w:val="single" w:color="auto" w:sz="4" w:space="0"/>
              <w:right w:val="single" w:color="auto" w:sz="4" w:space="0"/>
            </w:tcBorders>
            <w:shd w:val="clear" w:color="auto" w:fill="183883"/>
            <w:noWrap/>
            <w:vAlign w:val="center"/>
          </w:tcPr>
          <w:p w14:paraId="73FCDD3D">
            <w:pPr>
              <w:widowControl/>
              <w:jc w:val="center"/>
              <w:rPr>
                <w:b/>
                <w:bCs/>
                <w:color w:val="FFFFFF"/>
                <w:kern w:val="0"/>
                <w:sz w:val="24"/>
              </w:rPr>
            </w:pPr>
            <w:r>
              <w:rPr>
                <w:b/>
                <w:bCs/>
                <w:color w:val="FFFFFF"/>
                <w:kern w:val="0"/>
                <w:sz w:val="24"/>
              </w:rPr>
              <w:t>性能名称</w:t>
            </w:r>
          </w:p>
        </w:tc>
        <w:tc>
          <w:tcPr>
            <w:tcW w:w="895" w:type="pct"/>
            <w:tcBorders>
              <w:top w:val="single" w:color="auto" w:sz="4" w:space="0"/>
              <w:left w:val="nil"/>
              <w:bottom w:val="single" w:color="auto" w:sz="4" w:space="0"/>
              <w:right w:val="single" w:color="auto" w:sz="4" w:space="0"/>
            </w:tcBorders>
            <w:shd w:val="clear" w:color="auto" w:fill="183883"/>
            <w:noWrap/>
            <w:vAlign w:val="center"/>
          </w:tcPr>
          <w:p w14:paraId="40ADE036">
            <w:pPr>
              <w:widowControl/>
              <w:jc w:val="center"/>
              <w:rPr>
                <w:b/>
                <w:bCs/>
                <w:color w:val="FFFFFF"/>
                <w:kern w:val="0"/>
                <w:sz w:val="24"/>
              </w:rPr>
            </w:pPr>
            <w:r>
              <w:rPr>
                <w:b/>
                <w:bCs/>
                <w:color w:val="FFFFFF"/>
                <w:kern w:val="0"/>
                <w:sz w:val="24"/>
              </w:rPr>
              <w:t>浙江弗尔德</w:t>
            </w:r>
          </w:p>
        </w:tc>
        <w:tc>
          <w:tcPr>
            <w:tcW w:w="1060" w:type="pct"/>
            <w:tcBorders>
              <w:top w:val="single" w:color="auto" w:sz="4" w:space="0"/>
              <w:left w:val="nil"/>
              <w:bottom w:val="single" w:color="auto" w:sz="4" w:space="0"/>
              <w:right w:val="single" w:color="auto" w:sz="4" w:space="0"/>
            </w:tcBorders>
            <w:shd w:val="clear" w:color="auto" w:fill="183883"/>
            <w:noWrap/>
            <w:vAlign w:val="center"/>
          </w:tcPr>
          <w:p w14:paraId="33A0B7CD">
            <w:pPr>
              <w:widowControl/>
              <w:jc w:val="center"/>
              <w:rPr>
                <w:b/>
                <w:bCs/>
                <w:color w:val="FFFFFF"/>
                <w:kern w:val="0"/>
                <w:sz w:val="24"/>
              </w:rPr>
            </w:pPr>
            <w:r>
              <w:rPr>
                <w:b/>
                <w:bCs/>
                <w:color w:val="FFFFFF"/>
                <w:kern w:val="0"/>
                <w:sz w:val="24"/>
              </w:rPr>
              <w:t>行业水准</w:t>
            </w:r>
          </w:p>
        </w:tc>
        <w:tc>
          <w:tcPr>
            <w:tcW w:w="1060" w:type="pct"/>
            <w:tcBorders>
              <w:top w:val="single" w:color="auto" w:sz="4" w:space="0"/>
              <w:left w:val="nil"/>
              <w:bottom w:val="single" w:color="auto" w:sz="4" w:space="0"/>
              <w:right w:val="single" w:color="auto" w:sz="4" w:space="0"/>
            </w:tcBorders>
            <w:shd w:val="clear" w:color="auto" w:fill="183883"/>
            <w:noWrap/>
            <w:vAlign w:val="center"/>
          </w:tcPr>
          <w:p w14:paraId="52C78344">
            <w:pPr>
              <w:widowControl/>
              <w:jc w:val="center"/>
              <w:rPr>
                <w:b/>
                <w:bCs/>
                <w:color w:val="FFFFFF"/>
                <w:kern w:val="0"/>
                <w:sz w:val="24"/>
              </w:rPr>
            </w:pPr>
            <w:r>
              <w:rPr>
                <w:b/>
                <w:bCs/>
                <w:color w:val="FFFFFF"/>
                <w:kern w:val="0"/>
                <w:sz w:val="24"/>
              </w:rPr>
              <w:t>国家标准</w:t>
            </w:r>
          </w:p>
        </w:tc>
      </w:tr>
      <w:tr w14:paraId="1E5B71B3">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2949CECA">
            <w:pPr>
              <w:widowControl/>
              <w:jc w:val="center"/>
              <w:rPr>
                <w:color w:val="000000"/>
                <w:kern w:val="0"/>
                <w:sz w:val="24"/>
              </w:rPr>
            </w:pPr>
            <w:r>
              <w:rPr>
                <w:color w:val="000000"/>
                <w:kern w:val="0"/>
                <w:sz w:val="24"/>
              </w:rPr>
              <w:t>1</w:t>
            </w:r>
          </w:p>
        </w:tc>
        <w:tc>
          <w:tcPr>
            <w:tcW w:w="1128" w:type="pct"/>
            <w:tcBorders>
              <w:top w:val="nil"/>
              <w:left w:val="nil"/>
              <w:bottom w:val="single" w:color="auto" w:sz="4" w:space="0"/>
              <w:right w:val="single" w:color="auto" w:sz="4" w:space="0"/>
            </w:tcBorders>
            <w:shd w:val="clear" w:color="auto" w:fill="auto"/>
            <w:noWrap/>
            <w:vAlign w:val="center"/>
          </w:tcPr>
          <w:p w14:paraId="0390CA7F">
            <w:pPr>
              <w:widowControl/>
              <w:jc w:val="center"/>
              <w:rPr>
                <w:color w:val="000000"/>
                <w:kern w:val="0"/>
                <w:sz w:val="24"/>
              </w:rPr>
            </w:pPr>
            <w:r>
              <w:rPr>
                <w:color w:val="000000"/>
                <w:kern w:val="0"/>
                <w:sz w:val="24"/>
              </w:rPr>
              <w:t>空载噪音</w:t>
            </w:r>
          </w:p>
        </w:tc>
        <w:tc>
          <w:tcPr>
            <w:tcW w:w="895" w:type="pct"/>
            <w:tcBorders>
              <w:top w:val="nil"/>
              <w:left w:val="nil"/>
              <w:bottom w:val="single" w:color="auto" w:sz="4" w:space="0"/>
              <w:right w:val="single" w:color="auto" w:sz="4" w:space="0"/>
            </w:tcBorders>
            <w:shd w:val="clear" w:color="auto" w:fill="auto"/>
            <w:noWrap/>
            <w:vAlign w:val="center"/>
          </w:tcPr>
          <w:p w14:paraId="407D4C67">
            <w:pPr>
              <w:widowControl/>
              <w:jc w:val="center"/>
              <w:rPr>
                <w:color w:val="000000"/>
                <w:kern w:val="0"/>
                <w:sz w:val="24"/>
              </w:rPr>
            </w:pPr>
            <w:r>
              <w:rPr>
                <w:color w:val="000000"/>
                <w:kern w:val="0"/>
                <w:sz w:val="24"/>
              </w:rPr>
              <w:t>≤52dB</w:t>
            </w:r>
          </w:p>
        </w:tc>
        <w:tc>
          <w:tcPr>
            <w:tcW w:w="1060" w:type="pct"/>
            <w:tcBorders>
              <w:top w:val="nil"/>
              <w:left w:val="nil"/>
              <w:bottom w:val="single" w:color="auto" w:sz="4" w:space="0"/>
              <w:right w:val="single" w:color="auto" w:sz="4" w:space="0"/>
            </w:tcBorders>
            <w:shd w:val="clear" w:color="auto" w:fill="auto"/>
            <w:noWrap/>
            <w:vAlign w:val="center"/>
          </w:tcPr>
          <w:p w14:paraId="2E58FE7C">
            <w:pPr>
              <w:widowControl/>
              <w:jc w:val="center"/>
              <w:rPr>
                <w:color w:val="000000"/>
                <w:kern w:val="0"/>
                <w:sz w:val="24"/>
              </w:rPr>
            </w:pPr>
            <w:r>
              <w:rPr>
                <w:color w:val="000000"/>
                <w:kern w:val="0"/>
                <w:sz w:val="24"/>
              </w:rPr>
              <w:t>≤56dB</w:t>
            </w:r>
          </w:p>
        </w:tc>
        <w:tc>
          <w:tcPr>
            <w:tcW w:w="1060" w:type="pct"/>
            <w:tcBorders>
              <w:top w:val="nil"/>
              <w:left w:val="nil"/>
              <w:bottom w:val="single" w:color="auto" w:sz="4" w:space="0"/>
              <w:right w:val="single" w:color="auto" w:sz="4" w:space="0"/>
            </w:tcBorders>
            <w:shd w:val="clear" w:color="auto" w:fill="auto"/>
            <w:noWrap/>
            <w:vAlign w:val="center"/>
          </w:tcPr>
          <w:p w14:paraId="6B34F1F7">
            <w:pPr>
              <w:widowControl/>
              <w:jc w:val="center"/>
              <w:rPr>
                <w:color w:val="000000"/>
                <w:kern w:val="0"/>
                <w:sz w:val="24"/>
              </w:rPr>
            </w:pPr>
            <w:r>
              <w:rPr>
                <w:color w:val="000000"/>
                <w:kern w:val="0"/>
                <w:sz w:val="24"/>
              </w:rPr>
              <w:t>≤62dB</w:t>
            </w:r>
          </w:p>
        </w:tc>
      </w:tr>
      <w:tr w14:paraId="09A35A99">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75FB779A">
            <w:pPr>
              <w:widowControl/>
              <w:jc w:val="center"/>
              <w:rPr>
                <w:color w:val="000000"/>
                <w:kern w:val="0"/>
                <w:sz w:val="24"/>
              </w:rPr>
            </w:pPr>
            <w:r>
              <w:rPr>
                <w:color w:val="000000"/>
                <w:kern w:val="0"/>
                <w:sz w:val="24"/>
              </w:rPr>
              <w:t>2</w:t>
            </w:r>
          </w:p>
        </w:tc>
        <w:tc>
          <w:tcPr>
            <w:tcW w:w="1128" w:type="pct"/>
            <w:tcBorders>
              <w:top w:val="nil"/>
              <w:left w:val="nil"/>
              <w:bottom w:val="single" w:color="auto" w:sz="4" w:space="0"/>
              <w:right w:val="single" w:color="auto" w:sz="4" w:space="0"/>
            </w:tcBorders>
            <w:shd w:val="clear" w:color="auto" w:fill="auto"/>
            <w:noWrap/>
            <w:vAlign w:val="center"/>
          </w:tcPr>
          <w:p w14:paraId="1C7FDD6B">
            <w:pPr>
              <w:widowControl/>
              <w:jc w:val="center"/>
              <w:rPr>
                <w:color w:val="000000"/>
                <w:kern w:val="0"/>
                <w:sz w:val="24"/>
              </w:rPr>
            </w:pPr>
            <w:r>
              <w:rPr>
                <w:color w:val="000000"/>
                <w:kern w:val="0"/>
                <w:sz w:val="24"/>
              </w:rPr>
              <w:t>振动速度</w:t>
            </w:r>
          </w:p>
        </w:tc>
        <w:tc>
          <w:tcPr>
            <w:tcW w:w="895" w:type="pct"/>
            <w:tcBorders>
              <w:top w:val="nil"/>
              <w:left w:val="nil"/>
              <w:bottom w:val="single" w:color="auto" w:sz="4" w:space="0"/>
              <w:right w:val="single" w:color="auto" w:sz="4" w:space="0"/>
            </w:tcBorders>
            <w:shd w:val="clear" w:color="auto" w:fill="auto"/>
            <w:noWrap/>
            <w:vAlign w:val="center"/>
          </w:tcPr>
          <w:p w14:paraId="05F3C8B5">
            <w:pPr>
              <w:widowControl/>
              <w:jc w:val="center"/>
              <w:rPr>
                <w:color w:val="000000"/>
                <w:kern w:val="0"/>
                <w:sz w:val="24"/>
              </w:rPr>
            </w:pPr>
            <w:r>
              <w:rPr>
                <w:color w:val="000000"/>
                <w:kern w:val="0"/>
                <w:sz w:val="24"/>
              </w:rPr>
              <w:t>≤0.15mm/s</w:t>
            </w:r>
          </w:p>
        </w:tc>
        <w:tc>
          <w:tcPr>
            <w:tcW w:w="1060" w:type="pct"/>
            <w:tcBorders>
              <w:top w:val="nil"/>
              <w:left w:val="nil"/>
              <w:bottom w:val="single" w:color="auto" w:sz="4" w:space="0"/>
              <w:right w:val="single" w:color="auto" w:sz="4" w:space="0"/>
            </w:tcBorders>
            <w:shd w:val="clear" w:color="auto" w:fill="auto"/>
            <w:noWrap/>
            <w:vAlign w:val="center"/>
          </w:tcPr>
          <w:p w14:paraId="0DF70E41">
            <w:pPr>
              <w:widowControl/>
              <w:jc w:val="center"/>
              <w:rPr>
                <w:color w:val="000000"/>
                <w:kern w:val="0"/>
                <w:sz w:val="24"/>
              </w:rPr>
            </w:pPr>
            <w:r>
              <w:rPr>
                <w:color w:val="000000"/>
                <w:kern w:val="0"/>
                <w:sz w:val="24"/>
              </w:rPr>
              <w:t>≤0.20mm/s</w:t>
            </w:r>
          </w:p>
        </w:tc>
        <w:tc>
          <w:tcPr>
            <w:tcW w:w="1060" w:type="pct"/>
            <w:tcBorders>
              <w:top w:val="nil"/>
              <w:left w:val="nil"/>
              <w:bottom w:val="single" w:color="auto" w:sz="4" w:space="0"/>
              <w:right w:val="single" w:color="auto" w:sz="4" w:space="0"/>
            </w:tcBorders>
            <w:shd w:val="clear" w:color="auto" w:fill="auto"/>
            <w:noWrap/>
            <w:vAlign w:val="center"/>
          </w:tcPr>
          <w:p w14:paraId="60EB5988">
            <w:pPr>
              <w:widowControl/>
              <w:jc w:val="center"/>
              <w:rPr>
                <w:color w:val="000000"/>
                <w:kern w:val="0"/>
                <w:sz w:val="24"/>
              </w:rPr>
            </w:pPr>
            <w:r>
              <w:rPr>
                <w:color w:val="000000"/>
                <w:kern w:val="0"/>
                <w:sz w:val="24"/>
              </w:rPr>
              <w:t>≤0.50mm/s</w:t>
            </w:r>
          </w:p>
        </w:tc>
      </w:tr>
      <w:tr w14:paraId="04C2934A">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0FBA86BB">
            <w:pPr>
              <w:widowControl/>
              <w:jc w:val="center"/>
              <w:rPr>
                <w:color w:val="000000"/>
                <w:kern w:val="0"/>
                <w:sz w:val="24"/>
              </w:rPr>
            </w:pPr>
            <w:r>
              <w:rPr>
                <w:color w:val="000000"/>
                <w:kern w:val="0"/>
                <w:sz w:val="24"/>
              </w:rPr>
              <w:t>3</w:t>
            </w:r>
          </w:p>
        </w:tc>
        <w:tc>
          <w:tcPr>
            <w:tcW w:w="1128" w:type="pct"/>
            <w:tcBorders>
              <w:top w:val="nil"/>
              <w:left w:val="nil"/>
              <w:bottom w:val="single" w:color="auto" w:sz="4" w:space="0"/>
              <w:right w:val="single" w:color="auto" w:sz="4" w:space="0"/>
            </w:tcBorders>
            <w:shd w:val="clear" w:color="auto" w:fill="auto"/>
            <w:noWrap/>
            <w:vAlign w:val="center"/>
          </w:tcPr>
          <w:p w14:paraId="3875BE5E">
            <w:pPr>
              <w:widowControl/>
              <w:jc w:val="center"/>
              <w:rPr>
                <w:color w:val="000000"/>
                <w:kern w:val="0"/>
                <w:sz w:val="24"/>
              </w:rPr>
            </w:pPr>
            <w:r>
              <w:rPr>
                <w:color w:val="000000"/>
                <w:kern w:val="0"/>
                <w:sz w:val="24"/>
              </w:rPr>
              <w:t>过载转矩</w:t>
            </w:r>
          </w:p>
        </w:tc>
        <w:tc>
          <w:tcPr>
            <w:tcW w:w="895" w:type="pct"/>
            <w:tcBorders>
              <w:top w:val="nil"/>
              <w:left w:val="nil"/>
              <w:bottom w:val="single" w:color="auto" w:sz="4" w:space="0"/>
              <w:right w:val="single" w:color="auto" w:sz="4" w:space="0"/>
            </w:tcBorders>
            <w:shd w:val="clear" w:color="auto" w:fill="auto"/>
            <w:noWrap/>
            <w:vAlign w:val="center"/>
          </w:tcPr>
          <w:p w14:paraId="23659F0D">
            <w:pPr>
              <w:widowControl/>
              <w:jc w:val="center"/>
              <w:rPr>
                <w:color w:val="000000"/>
                <w:kern w:val="0"/>
                <w:sz w:val="24"/>
              </w:rPr>
            </w:pPr>
            <w:r>
              <w:rPr>
                <w:color w:val="000000"/>
                <w:kern w:val="0"/>
                <w:sz w:val="24"/>
              </w:rPr>
              <w:t>2倍</w:t>
            </w:r>
          </w:p>
        </w:tc>
        <w:tc>
          <w:tcPr>
            <w:tcW w:w="1060" w:type="pct"/>
            <w:tcBorders>
              <w:top w:val="nil"/>
              <w:left w:val="nil"/>
              <w:bottom w:val="single" w:color="auto" w:sz="4" w:space="0"/>
              <w:right w:val="single" w:color="auto" w:sz="4" w:space="0"/>
            </w:tcBorders>
            <w:shd w:val="clear" w:color="auto" w:fill="auto"/>
            <w:noWrap/>
            <w:vAlign w:val="center"/>
          </w:tcPr>
          <w:p w14:paraId="33D22519">
            <w:pPr>
              <w:widowControl/>
              <w:jc w:val="center"/>
              <w:rPr>
                <w:color w:val="000000"/>
                <w:kern w:val="0"/>
                <w:sz w:val="24"/>
              </w:rPr>
            </w:pPr>
            <w:r>
              <w:rPr>
                <w:color w:val="000000"/>
                <w:kern w:val="0"/>
                <w:sz w:val="24"/>
              </w:rPr>
              <w:t>1.7倍</w:t>
            </w:r>
          </w:p>
        </w:tc>
        <w:tc>
          <w:tcPr>
            <w:tcW w:w="1060" w:type="pct"/>
            <w:tcBorders>
              <w:top w:val="nil"/>
              <w:left w:val="nil"/>
              <w:bottom w:val="single" w:color="auto" w:sz="4" w:space="0"/>
              <w:right w:val="single" w:color="auto" w:sz="4" w:space="0"/>
            </w:tcBorders>
            <w:shd w:val="clear" w:color="auto" w:fill="auto"/>
            <w:noWrap/>
            <w:vAlign w:val="center"/>
          </w:tcPr>
          <w:p w14:paraId="3F86AA5F">
            <w:pPr>
              <w:widowControl/>
              <w:jc w:val="center"/>
              <w:rPr>
                <w:color w:val="000000"/>
                <w:kern w:val="0"/>
                <w:sz w:val="24"/>
              </w:rPr>
            </w:pPr>
            <w:r>
              <w:rPr>
                <w:color w:val="000000"/>
                <w:kern w:val="0"/>
                <w:sz w:val="24"/>
              </w:rPr>
              <w:t>1.5倍</w:t>
            </w:r>
          </w:p>
        </w:tc>
      </w:tr>
      <w:tr w14:paraId="13B68045">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0CC12D87">
            <w:pPr>
              <w:widowControl/>
              <w:jc w:val="center"/>
              <w:rPr>
                <w:color w:val="000000"/>
                <w:kern w:val="0"/>
                <w:sz w:val="24"/>
              </w:rPr>
            </w:pPr>
            <w:r>
              <w:rPr>
                <w:color w:val="000000"/>
                <w:kern w:val="0"/>
                <w:sz w:val="24"/>
              </w:rPr>
              <w:t>4</w:t>
            </w:r>
          </w:p>
        </w:tc>
        <w:tc>
          <w:tcPr>
            <w:tcW w:w="1128" w:type="pct"/>
            <w:tcBorders>
              <w:top w:val="nil"/>
              <w:left w:val="nil"/>
              <w:bottom w:val="single" w:color="auto" w:sz="4" w:space="0"/>
              <w:right w:val="single" w:color="auto" w:sz="4" w:space="0"/>
            </w:tcBorders>
            <w:shd w:val="clear" w:color="auto" w:fill="auto"/>
            <w:noWrap/>
            <w:vAlign w:val="center"/>
          </w:tcPr>
          <w:p w14:paraId="58D82F45">
            <w:pPr>
              <w:widowControl/>
              <w:jc w:val="center"/>
              <w:rPr>
                <w:color w:val="000000"/>
                <w:kern w:val="0"/>
                <w:sz w:val="24"/>
              </w:rPr>
            </w:pPr>
            <w:r>
              <w:rPr>
                <w:color w:val="000000"/>
                <w:kern w:val="0"/>
                <w:sz w:val="24"/>
              </w:rPr>
              <w:t>绝缘等级</w:t>
            </w:r>
          </w:p>
        </w:tc>
        <w:tc>
          <w:tcPr>
            <w:tcW w:w="895" w:type="pct"/>
            <w:tcBorders>
              <w:top w:val="nil"/>
              <w:left w:val="nil"/>
              <w:bottom w:val="single" w:color="auto" w:sz="4" w:space="0"/>
              <w:right w:val="single" w:color="auto" w:sz="4" w:space="0"/>
            </w:tcBorders>
            <w:shd w:val="clear" w:color="auto" w:fill="auto"/>
            <w:noWrap/>
            <w:vAlign w:val="center"/>
          </w:tcPr>
          <w:p w14:paraId="3F3AB4E0">
            <w:pPr>
              <w:widowControl/>
              <w:jc w:val="center"/>
              <w:rPr>
                <w:color w:val="000000"/>
                <w:kern w:val="0"/>
                <w:sz w:val="24"/>
              </w:rPr>
            </w:pPr>
            <w:r>
              <w:rPr>
                <w:color w:val="000000"/>
                <w:kern w:val="0"/>
                <w:sz w:val="24"/>
              </w:rPr>
              <w:t>F</w:t>
            </w:r>
          </w:p>
        </w:tc>
        <w:tc>
          <w:tcPr>
            <w:tcW w:w="1060" w:type="pct"/>
            <w:tcBorders>
              <w:top w:val="nil"/>
              <w:left w:val="nil"/>
              <w:bottom w:val="single" w:color="auto" w:sz="4" w:space="0"/>
              <w:right w:val="single" w:color="auto" w:sz="4" w:space="0"/>
            </w:tcBorders>
            <w:shd w:val="clear" w:color="auto" w:fill="auto"/>
            <w:noWrap/>
            <w:vAlign w:val="center"/>
          </w:tcPr>
          <w:p w14:paraId="532B51BF">
            <w:pPr>
              <w:widowControl/>
              <w:jc w:val="center"/>
              <w:rPr>
                <w:color w:val="000000"/>
                <w:kern w:val="0"/>
                <w:sz w:val="24"/>
              </w:rPr>
            </w:pPr>
            <w:r>
              <w:rPr>
                <w:color w:val="000000"/>
                <w:kern w:val="0"/>
                <w:sz w:val="24"/>
              </w:rPr>
              <w:t>F</w:t>
            </w:r>
          </w:p>
        </w:tc>
        <w:tc>
          <w:tcPr>
            <w:tcW w:w="1060" w:type="pct"/>
            <w:tcBorders>
              <w:top w:val="nil"/>
              <w:left w:val="nil"/>
              <w:bottom w:val="single" w:color="auto" w:sz="4" w:space="0"/>
              <w:right w:val="single" w:color="auto" w:sz="4" w:space="0"/>
            </w:tcBorders>
            <w:shd w:val="clear" w:color="auto" w:fill="auto"/>
            <w:noWrap/>
            <w:vAlign w:val="center"/>
          </w:tcPr>
          <w:p w14:paraId="3D80E06D">
            <w:pPr>
              <w:widowControl/>
              <w:jc w:val="center"/>
              <w:rPr>
                <w:color w:val="000000"/>
                <w:kern w:val="0"/>
                <w:sz w:val="24"/>
              </w:rPr>
            </w:pPr>
            <w:r>
              <w:rPr>
                <w:color w:val="000000"/>
                <w:kern w:val="0"/>
                <w:sz w:val="24"/>
              </w:rPr>
              <w:t>F</w:t>
            </w:r>
          </w:p>
        </w:tc>
      </w:tr>
      <w:tr w14:paraId="7EAC9AF3">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7580D4BA">
            <w:pPr>
              <w:widowControl/>
              <w:jc w:val="center"/>
              <w:rPr>
                <w:color w:val="000000"/>
                <w:kern w:val="0"/>
                <w:sz w:val="24"/>
              </w:rPr>
            </w:pPr>
            <w:r>
              <w:rPr>
                <w:color w:val="000000"/>
                <w:kern w:val="0"/>
                <w:sz w:val="24"/>
              </w:rPr>
              <w:t>5</w:t>
            </w:r>
          </w:p>
        </w:tc>
        <w:tc>
          <w:tcPr>
            <w:tcW w:w="1128" w:type="pct"/>
            <w:tcBorders>
              <w:top w:val="nil"/>
              <w:left w:val="nil"/>
              <w:bottom w:val="single" w:color="auto" w:sz="4" w:space="0"/>
              <w:right w:val="single" w:color="auto" w:sz="4" w:space="0"/>
            </w:tcBorders>
            <w:shd w:val="clear" w:color="auto" w:fill="auto"/>
            <w:noWrap/>
            <w:vAlign w:val="center"/>
          </w:tcPr>
          <w:p w14:paraId="0CA2671F">
            <w:pPr>
              <w:widowControl/>
              <w:jc w:val="center"/>
              <w:rPr>
                <w:color w:val="000000"/>
                <w:kern w:val="0"/>
                <w:sz w:val="24"/>
              </w:rPr>
            </w:pPr>
            <w:r>
              <w:rPr>
                <w:color w:val="000000"/>
                <w:kern w:val="0"/>
                <w:sz w:val="24"/>
              </w:rPr>
              <w:t>绝缘电阻</w:t>
            </w:r>
          </w:p>
        </w:tc>
        <w:tc>
          <w:tcPr>
            <w:tcW w:w="895" w:type="pct"/>
            <w:tcBorders>
              <w:top w:val="nil"/>
              <w:left w:val="nil"/>
              <w:bottom w:val="single" w:color="auto" w:sz="4" w:space="0"/>
              <w:right w:val="single" w:color="auto" w:sz="4" w:space="0"/>
            </w:tcBorders>
            <w:shd w:val="clear" w:color="auto" w:fill="auto"/>
            <w:noWrap/>
            <w:vAlign w:val="center"/>
          </w:tcPr>
          <w:p w14:paraId="0BEE1407">
            <w:pPr>
              <w:widowControl/>
              <w:jc w:val="center"/>
              <w:rPr>
                <w:color w:val="000000"/>
                <w:kern w:val="0"/>
                <w:sz w:val="24"/>
              </w:rPr>
            </w:pPr>
            <w:r>
              <w:rPr>
                <w:color w:val="000000"/>
                <w:kern w:val="0"/>
                <w:sz w:val="24"/>
              </w:rPr>
              <w:t>200MΩ</w:t>
            </w:r>
          </w:p>
        </w:tc>
        <w:tc>
          <w:tcPr>
            <w:tcW w:w="1060" w:type="pct"/>
            <w:tcBorders>
              <w:top w:val="nil"/>
              <w:left w:val="nil"/>
              <w:bottom w:val="single" w:color="auto" w:sz="4" w:space="0"/>
              <w:right w:val="single" w:color="auto" w:sz="4" w:space="0"/>
            </w:tcBorders>
            <w:shd w:val="clear" w:color="auto" w:fill="auto"/>
            <w:noWrap/>
            <w:vAlign w:val="center"/>
          </w:tcPr>
          <w:p w14:paraId="15E212EA">
            <w:pPr>
              <w:widowControl/>
              <w:jc w:val="center"/>
              <w:rPr>
                <w:color w:val="000000"/>
                <w:kern w:val="0"/>
                <w:sz w:val="24"/>
              </w:rPr>
            </w:pPr>
            <w:r>
              <w:rPr>
                <w:color w:val="000000"/>
                <w:kern w:val="0"/>
                <w:sz w:val="24"/>
              </w:rPr>
              <w:t>100MΩ</w:t>
            </w:r>
          </w:p>
        </w:tc>
        <w:tc>
          <w:tcPr>
            <w:tcW w:w="1060" w:type="pct"/>
            <w:tcBorders>
              <w:top w:val="nil"/>
              <w:left w:val="nil"/>
              <w:bottom w:val="single" w:color="auto" w:sz="4" w:space="0"/>
              <w:right w:val="single" w:color="auto" w:sz="4" w:space="0"/>
            </w:tcBorders>
            <w:shd w:val="clear" w:color="auto" w:fill="auto"/>
            <w:noWrap/>
            <w:vAlign w:val="center"/>
          </w:tcPr>
          <w:p w14:paraId="18539F7C">
            <w:pPr>
              <w:widowControl/>
              <w:jc w:val="center"/>
              <w:rPr>
                <w:color w:val="000000"/>
                <w:kern w:val="0"/>
                <w:sz w:val="24"/>
              </w:rPr>
            </w:pPr>
            <w:r>
              <w:rPr>
                <w:color w:val="000000"/>
                <w:kern w:val="0"/>
                <w:sz w:val="24"/>
              </w:rPr>
              <w:t>5MΩ</w:t>
            </w:r>
          </w:p>
        </w:tc>
      </w:tr>
      <w:tr w14:paraId="2768E192">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2A577124">
            <w:pPr>
              <w:widowControl/>
              <w:jc w:val="center"/>
              <w:rPr>
                <w:color w:val="000000"/>
                <w:kern w:val="0"/>
                <w:sz w:val="24"/>
              </w:rPr>
            </w:pPr>
            <w:r>
              <w:rPr>
                <w:color w:val="000000"/>
                <w:kern w:val="0"/>
                <w:sz w:val="24"/>
              </w:rPr>
              <w:t>6</w:t>
            </w:r>
          </w:p>
        </w:tc>
        <w:tc>
          <w:tcPr>
            <w:tcW w:w="1128" w:type="pct"/>
            <w:tcBorders>
              <w:top w:val="nil"/>
              <w:left w:val="nil"/>
              <w:bottom w:val="single" w:color="auto" w:sz="4" w:space="0"/>
              <w:right w:val="single" w:color="auto" w:sz="4" w:space="0"/>
            </w:tcBorders>
            <w:shd w:val="clear" w:color="auto" w:fill="auto"/>
            <w:noWrap/>
            <w:vAlign w:val="center"/>
          </w:tcPr>
          <w:p w14:paraId="29DB4F95">
            <w:pPr>
              <w:widowControl/>
              <w:jc w:val="center"/>
              <w:rPr>
                <w:color w:val="000000"/>
                <w:kern w:val="0"/>
                <w:sz w:val="24"/>
              </w:rPr>
            </w:pPr>
            <w:r>
              <w:rPr>
                <w:color w:val="000000"/>
                <w:kern w:val="0"/>
                <w:sz w:val="24"/>
              </w:rPr>
              <w:t>曳引机温升</w:t>
            </w:r>
          </w:p>
        </w:tc>
        <w:tc>
          <w:tcPr>
            <w:tcW w:w="895" w:type="pct"/>
            <w:tcBorders>
              <w:top w:val="nil"/>
              <w:left w:val="nil"/>
              <w:bottom w:val="single" w:color="auto" w:sz="4" w:space="0"/>
              <w:right w:val="single" w:color="auto" w:sz="4" w:space="0"/>
            </w:tcBorders>
            <w:shd w:val="clear" w:color="auto" w:fill="auto"/>
            <w:noWrap/>
            <w:vAlign w:val="center"/>
          </w:tcPr>
          <w:p w14:paraId="3EF69069">
            <w:pPr>
              <w:widowControl/>
              <w:jc w:val="center"/>
              <w:rPr>
                <w:color w:val="000000"/>
                <w:kern w:val="0"/>
                <w:sz w:val="24"/>
              </w:rPr>
            </w:pPr>
            <w:r>
              <w:rPr>
                <w:color w:val="000000"/>
                <w:kern w:val="0"/>
                <w:sz w:val="24"/>
              </w:rPr>
              <w:t>≤95K</w:t>
            </w:r>
          </w:p>
        </w:tc>
        <w:tc>
          <w:tcPr>
            <w:tcW w:w="1060" w:type="pct"/>
            <w:tcBorders>
              <w:top w:val="nil"/>
              <w:left w:val="nil"/>
              <w:bottom w:val="single" w:color="auto" w:sz="4" w:space="0"/>
              <w:right w:val="single" w:color="auto" w:sz="4" w:space="0"/>
            </w:tcBorders>
            <w:shd w:val="clear" w:color="auto" w:fill="auto"/>
            <w:noWrap/>
            <w:vAlign w:val="center"/>
          </w:tcPr>
          <w:p w14:paraId="7B90787D">
            <w:pPr>
              <w:widowControl/>
              <w:jc w:val="center"/>
              <w:rPr>
                <w:color w:val="000000"/>
                <w:kern w:val="0"/>
                <w:sz w:val="24"/>
              </w:rPr>
            </w:pPr>
            <w:r>
              <w:rPr>
                <w:color w:val="000000"/>
                <w:kern w:val="0"/>
                <w:sz w:val="24"/>
              </w:rPr>
              <w:t>≤100K</w:t>
            </w:r>
          </w:p>
        </w:tc>
        <w:tc>
          <w:tcPr>
            <w:tcW w:w="1060" w:type="pct"/>
            <w:tcBorders>
              <w:top w:val="nil"/>
              <w:left w:val="nil"/>
              <w:bottom w:val="single" w:color="auto" w:sz="4" w:space="0"/>
              <w:right w:val="single" w:color="auto" w:sz="4" w:space="0"/>
            </w:tcBorders>
            <w:shd w:val="clear" w:color="auto" w:fill="auto"/>
            <w:noWrap/>
            <w:vAlign w:val="center"/>
          </w:tcPr>
          <w:p w14:paraId="1154979B">
            <w:pPr>
              <w:widowControl/>
              <w:jc w:val="center"/>
              <w:rPr>
                <w:color w:val="000000"/>
                <w:kern w:val="0"/>
                <w:sz w:val="24"/>
              </w:rPr>
            </w:pPr>
            <w:r>
              <w:rPr>
                <w:color w:val="000000"/>
                <w:kern w:val="0"/>
                <w:sz w:val="24"/>
              </w:rPr>
              <w:t>≤105K</w:t>
            </w:r>
          </w:p>
        </w:tc>
      </w:tr>
      <w:tr w14:paraId="3FA73BA7">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7258900D">
            <w:pPr>
              <w:widowControl/>
              <w:jc w:val="center"/>
              <w:rPr>
                <w:color w:val="000000"/>
                <w:kern w:val="0"/>
                <w:sz w:val="24"/>
              </w:rPr>
            </w:pPr>
            <w:r>
              <w:rPr>
                <w:color w:val="000000"/>
                <w:kern w:val="0"/>
                <w:sz w:val="24"/>
              </w:rPr>
              <w:t>7</w:t>
            </w:r>
          </w:p>
        </w:tc>
        <w:tc>
          <w:tcPr>
            <w:tcW w:w="1128" w:type="pct"/>
            <w:tcBorders>
              <w:top w:val="nil"/>
              <w:left w:val="nil"/>
              <w:bottom w:val="single" w:color="auto" w:sz="4" w:space="0"/>
              <w:right w:val="single" w:color="auto" w:sz="4" w:space="0"/>
            </w:tcBorders>
            <w:shd w:val="clear" w:color="auto" w:fill="auto"/>
            <w:noWrap/>
            <w:vAlign w:val="center"/>
          </w:tcPr>
          <w:p w14:paraId="4062CA15">
            <w:pPr>
              <w:widowControl/>
              <w:jc w:val="center"/>
              <w:rPr>
                <w:color w:val="000000"/>
                <w:kern w:val="0"/>
                <w:sz w:val="24"/>
              </w:rPr>
            </w:pPr>
            <w:r>
              <w:rPr>
                <w:color w:val="000000"/>
                <w:kern w:val="0"/>
                <w:sz w:val="24"/>
              </w:rPr>
              <w:t>制动器噪音</w:t>
            </w:r>
          </w:p>
        </w:tc>
        <w:tc>
          <w:tcPr>
            <w:tcW w:w="895" w:type="pct"/>
            <w:tcBorders>
              <w:top w:val="nil"/>
              <w:left w:val="nil"/>
              <w:bottom w:val="single" w:color="auto" w:sz="4" w:space="0"/>
              <w:right w:val="single" w:color="auto" w:sz="4" w:space="0"/>
            </w:tcBorders>
            <w:shd w:val="clear" w:color="auto" w:fill="auto"/>
            <w:noWrap/>
            <w:vAlign w:val="center"/>
          </w:tcPr>
          <w:p w14:paraId="308F581C">
            <w:pPr>
              <w:widowControl/>
              <w:jc w:val="center"/>
              <w:rPr>
                <w:color w:val="000000"/>
                <w:kern w:val="0"/>
                <w:sz w:val="24"/>
              </w:rPr>
            </w:pPr>
            <w:r>
              <w:rPr>
                <w:color w:val="000000"/>
                <w:kern w:val="0"/>
                <w:sz w:val="24"/>
              </w:rPr>
              <w:t>≤52dB</w:t>
            </w:r>
          </w:p>
        </w:tc>
        <w:tc>
          <w:tcPr>
            <w:tcW w:w="1060" w:type="pct"/>
            <w:tcBorders>
              <w:top w:val="nil"/>
              <w:left w:val="nil"/>
              <w:bottom w:val="single" w:color="auto" w:sz="4" w:space="0"/>
              <w:right w:val="single" w:color="auto" w:sz="4" w:space="0"/>
            </w:tcBorders>
            <w:shd w:val="clear" w:color="auto" w:fill="auto"/>
            <w:noWrap/>
            <w:vAlign w:val="center"/>
          </w:tcPr>
          <w:p w14:paraId="0F2DB8E0">
            <w:pPr>
              <w:widowControl/>
              <w:jc w:val="center"/>
              <w:rPr>
                <w:color w:val="000000"/>
                <w:kern w:val="0"/>
                <w:sz w:val="24"/>
              </w:rPr>
            </w:pPr>
            <w:r>
              <w:rPr>
                <w:color w:val="000000"/>
                <w:kern w:val="0"/>
                <w:sz w:val="24"/>
              </w:rPr>
              <w:t>≤56dB</w:t>
            </w:r>
          </w:p>
        </w:tc>
        <w:tc>
          <w:tcPr>
            <w:tcW w:w="1060" w:type="pct"/>
            <w:tcBorders>
              <w:top w:val="nil"/>
              <w:left w:val="nil"/>
              <w:bottom w:val="single" w:color="auto" w:sz="4" w:space="0"/>
              <w:right w:val="single" w:color="auto" w:sz="4" w:space="0"/>
            </w:tcBorders>
            <w:shd w:val="clear" w:color="auto" w:fill="auto"/>
            <w:noWrap/>
            <w:vAlign w:val="center"/>
          </w:tcPr>
          <w:p w14:paraId="2F248C53">
            <w:pPr>
              <w:widowControl/>
              <w:jc w:val="center"/>
              <w:rPr>
                <w:color w:val="000000"/>
                <w:kern w:val="0"/>
                <w:sz w:val="24"/>
              </w:rPr>
            </w:pPr>
            <w:r>
              <w:rPr>
                <w:color w:val="000000"/>
                <w:kern w:val="0"/>
                <w:sz w:val="24"/>
              </w:rPr>
              <w:t>≤70dB</w:t>
            </w:r>
          </w:p>
        </w:tc>
      </w:tr>
      <w:tr w14:paraId="54657334">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33AEDC83">
            <w:pPr>
              <w:widowControl/>
              <w:jc w:val="center"/>
              <w:rPr>
                <w:color w:val="000000"/>
                <w:kern w:val="0"/>
                <w:sz w:val="24"/>
              </w:rPr>
            </w:pPr>
            <w:r>
              <w:rPr>
                <w:color w:val="000000"/>
                <w:kern w:val="0"/>
                <w:sz w:val="24"/>
              </w:rPr>
              <w:t>8</w:t>
            </w:r>
          </w:p>
        </w:tc>
        <w:tc>
          <w:tcPr>
            <w:tcW w:w="1128" w:type="pct"/>
            <w:tcBorders>
              <w:top w:val="nil"/>
              <w:left w:val="nil"/>
              <w:bottom w:val="single" w:color="auto" w:sz="4" w:space="0"/>
              <w:right w:val="single" w:color="auto" w:sz="4" w:space="0"/>
            </w:tcBorders>
            <w:shd w:val="clear" w:color="auto" w:fill="auto"/>
            <w:noWrap/>
            <w:vAlign w:val="center"/>
          </w:tcPr>
          <w:p w14:paraId="61EA40A1">
            <w:pPr>
              <w:widowControl/>
              <w:jc w:val="center"/>
              <w:rPr>
                <w:color w:val="000000"/>
                <w:kern w:val="0"/>
                <w:sz w:val="24"/>
              </w:rPr>
            </w:pPr>
            <w:r>
              <w:rPr>
                <w:color w:val="000000"/>
                <w:kern w:val="0"/>
                <w:sz w:val="24"/>
              </w:rPr>
              <w:t>制动力矩</w:t>
            </w:r>
          </w:p>
        </w:tc>
        <w:tc>
          <w:tcPr>
            <w:tcW w:w="895" w:type="pct"/>
            <w:tcBorders>
              <w:top w:val="nil"/>
              <w:left w:val="nil"/>
              <w:bottom w:val="single" w:color="auto" w:sz="4" w:space="0"/>
              <w:right w:val="single" w:color="auto" w:sz="4" w:space="0"/>
            </w:tcBorders>
            <w:shd w:val="clear" w:color="auto" w:fill="auto"/>
            <w:noWrap/>
            <w:vAlign w:val="center"/>
          </w:tcPr>
          <w:p w14:paraId="453B16C1">
            <w:pPr>
              <w:widowControl/>
              <w:jc w:val="center"/>
              <w:rPr>
                <w:color w:val="000000"/>
                <w:kern w:val="0"/>
                <w:sz w:val="24"/>
              </w:rPr>
            </w:pPr>
            <w:r>
              <w:rPr>
                <w:color w:val="000000"/>
                <w:kern w:val="0"/>
                <w:sz w:val="24"/>
              </w:rPr>
              <w:t>3倍额定扭矩</w:t>
            </w:r>
          </w:p>
        </w:tc>
        <w:tc>
          <w:tcPr>
            <w:tcW w:w="1060" w:type="pct"/>
            <w:tcBorders>
              <w:top w:val="nil"/>
              <w:left w:val="nil"/>
              <w:bottom w:val="single" w:color="auto" w:sz="4" w:space="0"/>
              <w:right w:val="single" w:color="auto" w:sz="4" w:space="0"/>
            </w:tcBorders>
            <w:shd w:val="clear" w:color="auto" w:fill="auto"/>
            <w:noWrap/>
            <w:vAlign w:val="center"/>
          </w:tcPr>
          <w:p w14:paraId="246B4BF1">
            <w:pPr>
              <w:widowControl/>
              <w:jc w:val="center"/>
              <w:rPr>
                <w:color w:val="000000"/>
                <w:kern w:val="0"/>
                <w:sz w:val="24"/>
              </w:rPr>
            </w:pPr>
            <w:r>
              <w:rPr>
                <w:color w:val="000000"/>
                <w:kern w:val="0"/>
                <w:sz w:val="24"/>
              </w:rPr>
              <w:t>2.7倍额定扭矩</w:t>
            </w:r>
          </w:p>
        </w:tc>
        <w:tc>
          <w:tcPr>
            <w:tcW w:w="1060" w:type="pct"/>
            <w:tcBorders>
              <w:top w:val="nil"/>
              <w:left w:val="nil"/>
              <w:bottom w:val="single" w:color="auto" w:sz="4" w:space="0"/>
              <w:right w:val="single" w:color="auto" w:sz="4" w:space="0"/>
            </w:tcBorders>
            <w:shd w:val="clear" w:color="auto" w:fill="auto"/>
            <w:noWrap/>
            <w:vAlign w:val="center"/>
          </w:tcPr>
          <w:p w14:paraId="79E3C5D4">
            <w:pPr>
              <w:widowControl/>
              <w:jc w:val="center"/>
              <w:rPr>
                <w:color w:val="000000"/>
                <w:kern w:val="0"/>
                <w:sz w:val="24"/>
              </w:rPr>
            </w:pPr>
            <w:r>
              <w:rPr>
                <w:color w:val="000000"/>
                <w:kern w:val="0"/>
                <w:sz w:val="24"/>
              </w:rPr>
              <w:t>2.5倍额定扭矩</w:t>
            </w:r>
          </w:p>
        </w:tc>
      </w:tr>
      <w:tr w14:paraId="3A6BF99D">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1C77FCE1">
            <w:pPr>
              <w:widowControl/>
              <w:jc w:val="center"/>
              <w:rPr>
                <w:color w:val="000000"/>
                <w:kern w:val="0"/>
                <w:sz w:val="24"/>
              </w:rPr>
            </w:pPr>
            <w:r>
              <w:rPr>
                <w:color w:val="000000"/>
                <w:kern w:val="0"/>
                <w:sz w:val="24"/>
              </w:rPr>
              <w:t>9</w:t>
            </w:r>
          </w:p>
        </w:tc>
        <w:tc>
          <w:tcPr>
            <w:tcW w:w="1128" w:type="pct"/>
            <w:tcBorders>
              <w:top w:val="nil"/>
              <w:left w:val="nil"/>
              <w:bottom w:val="single" w:color="auto" w:sz="4" w:space="0"/>
              <w:right w:val="single" w:color="auto" w:sz="4" w:space="0"/>
            </w:tcBorders>
            <w:shd w:val="clear" w:color="auto" w:fill="auto"/>
            <w:noWrap/>
            <w:vAlign w:val="center"/>
          </w:tcPr>
          <w:p w14:paraId="4505A067">
            <w:pPr>
              <w:widowControl/>
              <w:jc w:val="center"/>
              <w:rPr>
                <w:color w:val="000000"/>
                <w:kern w:val="0"/>
                <w:sz w:val="24"/>
              </w:rPr>
            </w:pPr>
            <w:r>
              <w:rPr>
                <w:color w:val="000000"/>
                <w:kern w:val="0"/>
                <w:sz w:val="24"/>
              </w:rPr>
              <w:t>制动器寿命</w:t>
            </w:r>
          </w:p>
        </w:tc>
        <w:tc>
          <w:tcPr>
            <w:tcW w:w="895" w:type="pct"/>
            <w:tcBorders>
              <w:top w:val="nil"/>
              <w:left w:val="nil"/>
              <w:bottom w:val="single" w:color="auto" w:sz="4" w:space="0"/>
              <w:right w:val="single" w:color="auto" w:sz="4" w:space="0"/>
            </w:tcBorders>
            <w:shd w:val="clear" w:color="auto" w:fill="auto"/>
            <w:noWrap/>
            <w:vAlign w:val="center"/>
          </w:tcPr>
          <w:p w14:paraId="561B9D7A">
            <w:pPr>
              <w:widowControl/>
              <w:jc w:val="center"/>
              <w:rPr>
                <w:color w:val="000000"/>
                <w:kern w:val="0"/>
                <w:sz w:val="24"/>
              </w:rPr>
            </w:pPr>
            <w:r>
              <w:rPr>
                <w:color w:val="000000"/>
                <w:kern w:val="0"/>
                <w:sz w:val="24"/>
              </w:rPr>
              <w:t>500W次</w:t>
            </w:r>
          </w:p>
        </w:tc>
        <w:tc>
          <w:tcPr>
            <w:tcW w:w="1060" w:type="pct"/>
            <w:tcBorders>
              <w:top w:val="nil"/>
              <w:left w:val="nil"/>
              <w:bottom w:val="single" w:color="auto" w:sz="4" w:space="0"/>
              <w:right w:val="single" w:color="auto" w:sz="4" w:space="0"/>
            </w:tcBorders>
            <w:shd w:val="clear" w:color="auto" w:fill="auto"/>
            <w:noWrap/>
            <w:vAlign w:val="center"/>
          </w:tcPr>
          <w:p w14:paraId="2215B194">
            <w:pPr>
              <w:widowControl/>
              <w:jc w:val="center"/>
              <w:rPr>
                <w:color w:val="000000"/>
                <w:kern w:val="0"/>
                <w:sz w:val="24"/>
              </w:rPr>
            </w:pPr>
            <w:r>
              <w:rPr>
                <w:color w:val="000000"/>
                <w:kern w:val="0"/>
                <w:sz w:val="24"/>
              </w:rPr>
              <w:t>300W次</w:t>
            </w:r>
          </w:p>
        </w:tc>
        <w:tc>
          <w:tcPr>
            <w:tcW w:w="1060" w:type="pct"/>
            <w:tcBorders>
              <w:top w:val="nil"/>
              <w:left w:val="nil"/>
              <w:bottom w:val="single" w:color="auto" w:sz="4" w:space="0"/>
              <w:right w:val="single" w:color="auto" w:sz="4" w:space="0"/>
            </w:tcBorders>
            <w:shd w:val="clear" w:color="auto" w:fill="auto"/>
            <w:noWrap/>
            <w:vAlign w:val="center"/>
          </w:tcPr>
          <w:p w14:paraId="30D5A213">
            <w:pPr>
              <w:widowControl/>
              <w:jc w:val="center"/>
              <w:rPr>
                <w:color w:val="000000"/>
                <w:kern w:val="0"/>
                <w:sz w:val="24"/>
              </w:rPr>
            </w:pPr>
            <w:r>
              <w:rPr>
                <w:color w:val="000000"/>
                <w:kern w:val="0"/>
                <w:sz w:val="24"/>
              </w:rPr>
              <w:t>200W次</w:t>
            </w:r>
          </w:p>
        </w:tc>
      </w:tr>
      <w:tr w14:paraId="725E000C">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541E03DD">
            <w:pPr>
              <w:widowControl/>
              <w:jc w:val="center"/>
              <w:rPr>
                <w:color w:val="000000"/>
                <w:kern w:val="0"/>
                <w:sz w:val="24"/>
              </w:rPr>
            </w:pPr>
            <w:r>
              <w:rPr>
                <w:color w:val="000000"/>
                <w:kern w:val="0"/>
                <w:sz w:val="24"/>
              </w:rPr>
              <w:t>10</w:t>
            </w:r>
          </w:p>
        </w:tc>
        <w:tc>
          <w:tcPr>
            <w:tcW w:w="1128" w:type="pct"/>
            <w:tcBorders>
              <w:top w:val="nil"/>
              <w:left w:val="nil"/>
              <w:bottom w:val="single" w:color="auto" w:sz="4" w:space="0"/>
              <w:right w:val="single" w:color="auto" w:sz="4" w:space="0"/>
            </w:tcBorders>
            <w:shd w:val="clear" w:color="auto" w:fill="auto"/>
            <w:noWrap/>
            <w:vAlign w:val="center"/>
          </w:tcPr>
          <w:p w14:paraId="6F200BF1">
            <w:pPr>
              <w:widowControl/>
              <w:jc w:val="center"/>
              <w:rPr>
                <w:color w:val="000000"/>
                <w:kern w:val="0"/>
                <w:sz w:val="24"/>
              </w:rPr>
            </w:pPr>
            <w:r>
              <w:rPr>
                <w:color w:val="000000"/>
                <w:kern w:val="0"/>
                <w:sz w:val="24"/>
              </w:rPr>
              <w:t>制动器响应时间</w:t>
            </w:r>
          </w:p>
        </w:tc>
        <w:tc>
          <w:tcPr>
            <w:tcW w:w="895" w:type="pct"/>
            <w:tcBorders>
              <w:top w:val="nil"/>
              <w:left w:val="nil"/>
              <w:bottom w:val="single" w:color="auto" w:sz="4" w:space="0"/>
              <w:right w:val="single" w:color="auto" w:sz="4" w:space="0"/>
            </w:tcBorders>
            <w:shd w:val="clear" w:color="auto" w:fill="auto"/>
            <w:noWrap/>
            <w:vAlign w:val="center"/>
          </w:tcPr>
          <w:p w14:paraId="0B29C013">
            <w:pPr>
              <w:widowControl/>
              <w:jc w:val="center"/>
              <w:rPr>
                <w:color w:val="000000"/>
                <w:kern w:val="0"/>
                <w:sz w:val="24"/>
              </w:rPr>
            </w:pPr>
            <w:r>
              <w:rPr>
                <w:color w:val="000000"/>
                <w:kern w:val="0"/>
                <w:sz w:val="24"/>
              </w:rPr>
              <w:t>150毫秒</w:t>
            </w:r>
          </w:p>
        </w:tc>
        <w:tc>
          <w:tcPr>
            <w:tcW w:w="1060" w:type="pct"/>
            <w:tcBorders>
              <w:top w:val="nil"/>
              <w:left w:val="nil"/>
              <w:bottom w:val="single" w:color="auto" w:sz="4" w:space="0"/>
              <w:right w:val="single" w:color="auto" w:sz="4" w:space="0"/>
            </w:tcBorders>
            <w:shd w:val="clear" w:color="auto" w:fill="auto"/>
            <w:noWrap/>
            <w:vAlign w:val="center"/>
          </w:tcPr>
          <w:p w14:paraId="5FBF2227">
            <w:pPr>
              <w:widowControl/>
              <w:jc w:val="center"/>
              <w:rPr>
                <w:color w:val="000000"/>
                <w:kern w:val="0"/>
                <w:sz w:val="24"/>
              </w:rPr>
            </w:pPr>
            <w:r>
              <w:rPr>
                <w:color w:val="000000"/>
                <w:kern w:val="0"/>
                <w:sz w:val="24"/>
              </w:rPr>
              <w:t>200毫秒</w:t>
            </w:r>
          </w:p>
        </w:tc>
        <w:tc>
          <w:tcPr>
            <w:tcW w:w="1060" w:type="pct"/>
            <w:tcBorders>
              <w:top w:val="nil"/>
              <w:left w:val="nil"/>
              <w:bottom w:val="single" w:color="auto" w:sz="4" w:space="0"/>
              <w:right w:val="single" w:color="auto" w:sz="4" w:space="0"/>
            </w:tcBorders>
            <w:shd w:val="clear" w:color="auto" w:fill="auto"/>
            <w:noWrap/>
            <w:vAlign w:val="center"/>
          </w:tcPr>
          <w:p w14:paraId="717CAD95">
            <w:pPr>
              <w:widowControl/>
              <w:jc w:val="center"/>
              <w:rPr>
                <w:color w:val="000000"/>
                <w:kern w:val="0"/>
                <w:sz w:val="24"/>
              </w:rPr>
            </w:pPr>
            <w:r>
              <w:rPr>
                <w:color w:val="000000"/>
                <w:kern w:val="0"/>
                <w:sz w:val="24"/>
              </w:rPr>
              <w:t>500毫秒</w:t>
            </w:r>
          </w:p>
        </w:tc>
      </w:tr>
    </w:tbl>
    <w:p w14:paraId="441DD779">
      <w:pPr>
        <w:adjustRightInd w:val="0"/>
        <w:snapToGrid w:val="0"/>
        <w:spacing w:line="300" w:lineRule="auto"/>
        <w:jc w:val="center"/>
        <w:rPr>
          <w:rFonts w:ascii="方正仿宋简体" w:eastAsia="方正仿宋简体"/>
          <w:bCs/>
          <w:sz w:val="24"/>
        </w:rPr>
      </w:pPr>
    </w:p>
    <w:p w14:paraId="6ADD95B6">
      <w:pPr>
        <w:adjustRightInd w:val="0"/>
        <w:snapToGrid w:val="0"/>
        <w:spacing w:line="300" w:lineRule="auto"/>
        <w:jc w:val="center"/>
        <w:rPr>
          <w:rFonts w:ascii="方正仿宋简体" w:eastAsia="方正仿宋简体"/>
          <w:bCs/>
          <w:sz w:val="24"/>
        </w:rPr>
      </w:pPr>
    </w:p>
    <w:p w14:paraId="4F08390D">
      <w:pPr>
        <w:adjustRightInd w:val="0"/>
        <w:snapToGrid w:val="0"/>
        <w:spacing w:line="300" w:lineRule="auto"/>
        <w:jc w:val="center"/>
        <w:rPr>
          <w:rFonts w:ascii="方正仿宋简体" w:eastAsia="方正仿宋简体"/>
          <w:bCs/>
          <w:sz w:val="24"/>
        </w:rPr>
      </w:pPr>
      <w:r>
        <w:rPr>
          <w:rFonts w:ascii="方正仿宋简体" w:eastAsia="方正仿宋简体"/>
          <w:bCs/>
          <w:sz w:val="24"/>
        </w:rPr>
        <w:t>别墅梯性能对比表</w:t>
      </w:r>
    </w:p>
    <w:tbl>
      <w:tblPr>
        <w:tblStyle w:val="22"/>
        <w:tblW w:w="5000" w:type="pct"/>
        <w:tblInd w:w="0" w:type="dxa"/>
        <w:tblLayout w:type="autofit"/>
        <w:tblCellMar>
          <w:top w:w="0" w:type="dxa"/>
          <w:left w:w="108" w:type="dxa"/>
          <w:bottom w:w="0" w:type="dxa"/>
          <w:right w:w="108" w:type="dxa"/>
        </w:tblCellMar>
      </w:tblPr>
      <w:tblGrid>
        <w:gridCol w:w="1572"/>
        <w:gridCol w:w="2069"/>
        <w:gridCol w:w="1642"/>
        <w:gridCol w:w="1945"/>
        <w:gridCol w:w="1945"/>
      </w:tblGrid>
      <w:tr w14:paraId="58F3DE42">
        <w:tblPrEx>
          <w:tblCellMar>
            <w:top w:w="0" w:type="dxa"/>
            <w:left w:w="108" w:type="dxa"/>
            <w:bottom w:w="0" w:type="dxa"/>
            <w:right w:w="108" w:type="dxa"/>
          </w:tblCellMar>
        </w:tblPrEx>
        <w:tc>
          <w:tcPr>
            <w:tcW w:w="857" w:type="pct"/>
            <w:tcBorders>
              <w:top w:val="single" w:color="auto" w:sz="4" w:space="0"/>
              <w:left w:val="single" w:color="auto" w:sz="4" w:space="0"/>
              <w:bottom w:val="single" w:color="auto" w:sz="4" w:space="0"/>
              <w:right w:val="single" w:color="auto" w:sz="4" w:space="0"/>
            </w:tcBorders>
            <w:shd w:val="clear" w:color="auto" w:fill="183883"/>
            <w:noWrap/>
            <w:vAlign w:val="center"/>
          </w:tcPr>
          <w:p w14:paraId="643D5D01">
            <w:pPr>
              <w:widowControl/>
              <w:jc w:val="center"/>
              <w:rPr>
                <w:b/>
                <w:bCs/>
                <w:color w:val="FFFFFF"/>
                <w:kern w:val="0"/>
                <w:sz w:val="24"/>
              </w:rPr>
            </w:pPr>
            <w:r>
              <w:rPr>
                <w:b/>
                <w:bCs/>
                <w:color w:val="FFFFFF"/>
                <w:kern w:val="0"/>
                <w:sz w:val="24"/>
              </w:rPr>
              <w:t>序号</w:t>
            </w:r>
          </w:p>
        </w:tc>
        <w:tc>
          <w:tcPr>
            <w:tcW w:w="1128" w:type="pct"/>
            <w:tcBorders>
              <w:top w:val="single" w:color="auto" w:sz="4" w:space="0"/>
              <w:left w:val="nil"/>
              <w:bottom w:val="single" w:color="auto" w:sz="4" w:space="0"/>
              <w:right w:val="single" w:color="auto" w:sz="4" w:space="0"/>
            </w:tcBorders>
            <w:shd w:val="clear" w:color="auto" w:fill="183883"/>
            <w:noWrap/>
            <w:vAlign w:val="center"/>
          </w:tcPr>
          <w:p w14:paraId="0E8CEA75">
            <w:pPr>
              <w:widowControl/>
              <w:jc w:val="center"/>
              <w:rPr>
                <w:b/>
                <w:bCs/>
                <w:color w:val="FFFFFF"/>
                <w:kern w:val="0"/>
                <w:sz w:val="24"/>
              </w:rPr>
            </w:pPr>
            <w:r>
              <w:rPr>
                <w:b/>
                <w:bCs/>
                <w:color w:val="FFFFFF"/>
                <w:kern w:val="0"/>
                <w:sz w:val="24"/>
              </w:rPr>
              <w:t>性能名称</w:t>
            </w:r>
          </w:p>
        </w:tc>
        <w:tc>
          <w:tcPr>
            <w:tcW w:w="895" w:type="pct"/>
            <w:tcBorders>
              <w:top w:val="single" w:color="auto" w:sz="4" w:space="0"/>
              <w:left w:val="nil"/>
              <w:bottom w:val="single" w:color="auto" w:sz="4" w:space="0"/>
              <w:right w:val="single" w:color="auto" w:sz="4" w:space="0"/>
            </w:tcBorders>
            <w:shd w:val="clear" w:color="auto" w:fill="183883"/>
            <w:noWrap/>
            <w:vAlign w:val="center"/>
          </w:tcPr>
          <w:p w14:paraId="3B3BD713">
            <w:pPr>
              <w:widowControl/>
              <w:jc w:val="center"/>
              <w:rPr>
                <w:b/>
                <w:bCs/>
                <w:color w:val="FFFFFF"/>
                <w:kern w:val="0"/>
                <w:sz w:val="24"/>
              </w:rPr>
            </w:pPr>
            <w:r>
              <w:rPr>
                <w:b/>
                <w:bCs/>
                <w:color w:val="FFFFFF"/>
                <w:kern w:val="0"/>
                <w:sz w:val="24"/>
              </w:rPr>
              <w:t>浙江弗尔德</w:t>
            </w:r>
          </w:p>
        </w:tc>
        <w:tc>
          <w:tcPr>
            <w:tcW w:w="1060" w:type="pct"/>
            <w:tcBorders>
              <w:top w:val="single" w:color="auto" w:sz="4" w:space="0"/>
              <w:left w:val="nil"/>
              <w:bottom w:val="single" w:color="auto" w:sz="4" w:space="0"/>
              <w:right w:val="single" w:color="auto" w:sz="4" w:space="0"/>
            </w:tcBorders>
            <w:shd w:val="clear" w:color="auto" w:fill="183883"/>
            <w:noWrap/>
            <w:vAlign w:val="center"/>
          </w:tcPr>
          <w:p w14:paraId="51EF01F2">
            <w:pPr>
              <w:widowControl/>
              <w:jc w:val="center"/>
              <w:rPr>
                <w:b/>
                <w:bCs/>
                <w:color w:val="FFFFFF"/>
                <w:kern w:val="0"/>
                <w:sz w:val="24"/>
              </w:rPr>
            </w:pPr>
            <w:r>
              <w:rPr>
                <w:b/>
                <w:bCs/>
                <w:color w:val="FFFFFF"/>
                <w:kern w:val="0"/>
                <w:sz w:val="24"/>
              </w:rPr>
              <w:t>行业水准</w:t>
            </w:r>
          </w:p>
        </w:tc>
        <w:tc>
          <w:tcPr>
            <w:tcW w:w="1060" w:type="pct"/>
            <w:tcBorders>
              <w:top w:val="single" w:color="auto" w:sz="4" w:space="0"/>
              <w:left w:val="nil"/>
              <w:bottom w:val="single" w:color="auto" w:sz="4" w:space="0"/>
              <w:right w:val="single" w:color="auto" w:sz="4" w:space="0"/>
            </w:tcBorders>
            <w:shd w:val="clear" w:color="auto" w:fill="183883"/>
            <w:noWrap/>
            <w:vAlign w:val="center"/>
          </w:tcPr>
          <w:p w14:paraId="04D3303A">
            <w:pPr>
              <w:widowControl/>
              <w:jc w:val="center"/>
              <w:rPr>
                <w:b/>
                <w:bCs/>
                <w:color w:val="FFFFFF"/>
                <w:kern w:val="0"/>
                <w:sz w:val="24"/>
              </w:rPr>
            </w:pPr>
            <w:r>
              <w:rPr>
                <w:b/>
                <w:bCs/>
                <w:color w:val="FFFFFF"/>
                <w:kern w:val="0"/>
                <w:sz w:val="24"/>
              </w:rPr>
              <w:t>国家标准</w:t>
            </w:r>
          </w:p>
        </w:tc>
      </w:tr>
      <w:tr w14:paraId="1090FFF8">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5AE5E707">
            <w:pPr>
              <w:widowControl/>
              <w:jc w:val="center"/>
              <w:rPr>
                <w:color w:val="000000"/>
                <w:kern w:val="0"/>
                <w:sz w:val="24"/>
              </w:rPr>
            </w:pPr>
            <w:r>
              <w:rPr>
                <w:color w:val="000000"/>
                <w:kern w:val="0"/>
                <w:sz w:val="24"/>
              </w:rPr>
              <w:t>1</w:t>
            </w:r>
          </w:p>
        </w:tc>
        <w:tc>
          <w:tcPr>
            <w:tcW w:w="1128" w:type="pct"/>
            <w:tcBorders>
              <w:top w:val="nil"/>
              <w:left w:val="nil"/>
              <w:bottom w:val="single" w:color="auto" w:sz="4" w:space="0"/>
              <w:right w:val="single" w:color="auto" w:sz="4" w:space="0"/>
            </w:tcBorders>
            <w:shd w:val="clear" w:color="auto" w:fill="auto"/>
            <w:noWrap/>
            <w:vAlign w:val="center"/>
          </w:tcPr>
          <w:p w14:paraId="0DD941FB">
            <w:pPr>
              <w:widowControl/>
              <w:jc w:val="center"/>
              <w:rPr>
                <w:color w:val="000000"/>
                <w:kern w:val="0"/>
                <w:sz w:val="24"/>
              </w:rPr>
            </w:pPr>
            <w:r>
              <w:rPr>
                <w:color w:val="000000"/>
                <w:kern w:val="0"/>
                <w:sz w:val="24"/>
              </w:rPr>
              <w:t>空载噪音</w:t>
            </w:r>
          </w:p>
        </w:tc>
        <w:tc>
          <w:tcPr>
            <w:tcW w:w="895" w:type="pct"/>
            <w:tcBorders>
              <w:top w:val="nil"/>
              <w:left w:val="nil"/>
              <w:bottom w:val="single" w:color="auto" w:sz="4" w:space="0"/>
              <w:right w:val="single" w:color="auto" w:sz="4" w:space="0"/>
            </w:tcBorders>
            <w:shd w:val="clear" w:color="auto" w:fill="auto"/>
            <w:noWrap/>
            <w:vAlign w:val="center"/>
          </w:tcPr>
          <w:p w14:paraId="717AF35F">
            <w:pPr>
              <w:widowControl/>
              <w:jc w:val="center"/>
              <w:rPr>
                <w:color w:val="000000"/>
                <w:kern w:val="0"/>
                <w:sz w:val="24"/>
              </w:rPr>
            </w:pPr>
            <w:r>
              <w:rPr>
                <w:color w:val="000000"/>
                <w:kern w:val="0"/>
                <w:sz w:val="24"/>
              </w:rPr>
              <w:t>≤48dB</w:t>
            </w:r>
          </w:p>
        </w:tc>
        <w:tc>
          <w:tcPr>
            <w:tcW w:w="1060" w:type="pct"/>
            <w:tcBorders>
              <w:top w:val="nil"/>
              <w:left w:val="nil"/>
              <w:bottom w:val="single" w:color="auto" w:sz="4" w:space="0"/>
              <w:right w:val="single" w:color="auto" w:sz="4" w:space="0"/>
            </w:tcBorders>
            <w:shd w:val="clear" w:color="auto" w:fill="auto"/>
            <w:noWrap/>
            <w:vAlign w:val="center"/>
          </w:tcPr>
          <w:p w14:paraId="76083980">
            <w:pPr>
              <w:widowControl/>
              <w:jc w:val="center"/>
              <w:rPr>
                <w:color w:val="000000"/>
                <w:kern w:val="0"/>
                <w:sz w:val="24"/>
              </w:rPr>
            </w:pPr>
            <w:r>
              <w:rPr>
                <w:color w:val="000000"/>
                <w:kern w:val="0"/>
                <w:sz w:val="24"/>
              </w:rPr>
              <w:t>≤50dB</w:t>
            </w:r>
          </w:p>
        </w:tc>
        <w:tc>
          <w:tcPr>
            <w:tcW w:w="1060" w:type="pct"/>
            <w:tcBorders>
              <w:top w:val="nil"/>
              <w:left w:val="nil"/>
              <w:bottom w:val="single" w:color="auto" w:sz="4" w:space="0"/>
              <w:right w:val="single" w:color="auto" w:sz="4" w:space="0"/>
            </w:tcBorders>
            <w:shd w:val="clear" w:color="auto" w:fill="auto"/>
            <w:noWrap/>
            <w:vAlign w:val="center"/>
          </w:tcPr>
          <w:p w14:paraId="02D3648E">
            <w:pPr>
              <w:widowControl/>
              <w:jc w:val="center"/>
              <w:rPr>
                <w:color w:val="000000"/>
                <w:kern w:val="0"/>
                <w:sz w:val="24"/>
              </w:rPr>
            </w:pPr>
            <w:r>
              <w:rPr>
                <w:color w:val="000000"/>
                <w:kern w:val="0"/>
                <w:sz w:val="24"/>
              </w:rPr>
              <w:t>≤62dB</w:t>
            </w:r>
          </w:p>
        </w:tc>
      </w:tr>
      <w:tr w14:paraId="1348B106">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3D71AF31">
            <w:pPr>
              <w:widowControl/>
              <w:jc w:val="center"/>
              <w:rPr>
                <w:color w:val="000000"/>
                <w:kern w:val="0"/>
                <w:sz w:val="24"/>
              </w:rPr>
            </w:pPr>
            <w:r>
              <w:rPr>
                <w:color w:val="000000"/>
                <w:kern w:val="0"/>
                <w:sz w:val="24"/>
              </w:rPr>
              <w:t>2</w:t>
            </w:r>
          </w:p>
        </w:tc>
        <w:tc>
          <w:tcPr>
            <w:tcW w:w="1128" w:type="pct"/>
            <w:tcBorders>
              <w:top w:val="nil"/>
              <w:left w:val="nil"/>
              <w:bottom w:val="single" w:color="auto" w:sz="4" w:space="0"/>
              <w:right w:val="single" w:color="auto" w:sz="4" w:space="0"/>
            </w:tcBorders>
            <w:shd w:val="clear" w:color="auto" w:fill="auto"/>
            <w:noWrap/>
            <w:vAlign w:val="center"/>
          </w:tcPr>
          <w:p w14:paraId="196E4F1F">
            <w:pPr>
              <w:widowControl/>
              <w:jc w:val="center"/>
              <w:rPr>
                <w:color w:val="000000"/>
                <w:kern w:val="0"/>
                <w:sz w:val="24"/>
              </w:rPr>
            </w:pPr>
            <w:r>
              <w:rPr>
                <w:color w:val="000000"/>
                <w:kern w:val="0"/>
                <w:sz w:val="24"/>
              </w:rPr>
              <w:t>振动速度</w:t>
            </w:r>
          </w:p>
        </w:tc>
        <w:tc>
          <w:tcPr>
            <w:tcW w:w="895" w:type="pct"/>
            <w:tcBorders>
              <w:top w:val="nil"/>
              <w:left w:val="nil"/>
              <w:bottom w:val="single" w:color="auto" w:sz="4" w:space="0"/>
              <w:right w:val="single" w:color="auto" w:sz="4" w:space="0"/>
            </w:tcBorders>
            <w:shd w:val="clear" w:color="auto" w:fill="auto"/>
            <w:noWrap/>
            <w:vAlign w:val="center"/>
          </w:tcPr>
          <w:p w14:paraId="1A721B5F">
            <w:pPr>
              <w:widowControl/>
              <w:jc w:val="center"/>
              <w:rPr>
                <w:color w:val="000000"/>
                <w:kern w:val="0"/>
                <w:sz w:val="24"/>
              </w:rPr>
            </w:pPr>
            <w:r>
              <w:rPr>
                <w:color w:val="000000"/>
                <w:kern w:val="0"/>
                <w:sz w:val="24"/>
              </w:rPr>
              <w:t>≤0.10mm/s</w:t>
            </w:r>
          </w:p>
        </w:tc>
        <w:tc>
          <w:tcPr>
            <w:tcW w:w="1060" w:type="pct"/>
            <w:tcBorders>
              <w:top w:val="nil"/>
              <w:left w:val="nil"/>
              <w:bottom w:val="single" w:color="auto" w:sz="4" w:space="0"/>
              <w:right w:val="single" w:color="auto" w:sz="4" w:space="0"/>
            </w:tcBorders>
            <w:shd w:val="clear" w:color="auto" w:fill="auto"/>
            <w:noWrap/>
            <w:vAlign w:val="center"/>
          </w:tcPr>
          <w:p w14:paraId="68999552">
            <w:pPr>
              <w:widowControl/>
              <w:jc w:val="center"/>
              <w:rPr>
                <w:color w:val="000000"/>
                <w:kern w:val="0"/>
                <w:sz w:val="24"/>
              </w:rPr>
            </w:pPr>
            <w:r>
              <w:rPr>
                <w:color w:val="000000"/>
                <w:kern w:val="0"/>
                <w:sz w:val="24"/>
              </w:rPr>
              <w:t>≤0.15mm/s</w:t>
            </w:r>
          </w:p>
        </w:tc>
        <w:tc>
          <w:tcPr>
            <w:tcW w:w="1060" w:type="pct"/>
            <w:tcBorders>
              <w:top w:val="nil"/>
              <w:left w:val="nil"/>
              <w:bottom w:val="single" w:color="auto" w:sz="4" w:space="0"/>
              <w:right w:val="single" w:color="auto" w:sz="4" w:space="0"/>
            </w:tcBorders>
            <w:shd w:val="clear" w:color="auto" w:fill="auto"/>
            <w:noWrap/>
            <w:vAlign w:val="center"/>
          </w:tcPr>
          <w:p w14:paraId="51078A53">
            <w:pPr>
              <w:widowControl/>
              <w:jc w:val="center"/>
              <w:rPr>
                <w:color w:val="000000"/>
                <w:kern w:val="0"/>
                <w:sz w:val="24"/>
              </w:rPr>
            </w:pPr>
            <w:r>
              <w:rPr>
                <w:color w:val="000000"/>
                <w:kern w:val="0"/>
                <w:sz w:val="24"/>
              </w:rPr>
              <w:t>≤0.50mm/s</w:t>
            </w:r>
          </w:p>
        </w:tc>
      </w:tr>
      <w:tr w14:paraId="717DED9A">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5CB82A6E">
            <w:pPr>
              <w:widowControl/>
              <w:jc w:val="center"/>
              <w:rPr>
                <w:color w:val="000000"/>
                <w:kern w:val="0"/>
                <w:sz w:val="24"/>
              </w:rPr>
            </w:pPr>
            <w:r>
              <w:rPr>
                <w:color w:val="000000"/>
                <w:kern w:val="0"/>
                <w:sz w:val="24"/>
              </w:rPr>
              <w:t>3</w:t>
            </w:r>
          </w:p>
        </w:tc>
        <w:tc>
          <w:tcPr>
            <w:tcW w:w="1128" w:type="pct"/>
            <w:tcBorders>
              <w:top w:val="nil"/>
              <w:left w:val="nil"/>
              <w:bottom w:val="single" w:color="auto" w:sz="4" w:space="0"/>
              <w:right w:val="single" w:color="auto" w:sz="4" w:space="0"/>
            </w:tcBorders>
            <w:shd w:val="clear" w:color="auto" w:fill="auto"/>
            <w:noWrap/>
            <w:vAlign w:val="center"/>
          </w:tcPr>
          <w:p w14:paraId="2A6F88D6">
            <w:pPr>
              <w:widowControl/>
              <w:jc w:val="center"/>
              <w:rPr>
                <w:color w:val="000000"/>
                <w:kern w:val="0"/>
                <w:sz w:val="24"/>
              </w:rPr>
            </w:pPr>
            <w:r>
              <w:rPr>
                <w:color w:val="000000"/>
                <w:kern w:val="0"/>
                <w:sz w:val="24"/>
              </w:rPr>
              <w:t>过载转矩</w:t>
            </w:r>
          </w:p>
        </w:tc>
        <w:tc>
          <w:tcPr>
            <w:tcW w:w="895" w:type="pct"/>
            <w:tcBorders>
              <w:top w:val="nil"/>
              <w:left w:val="nil"/>
              <w:bottom w:val="single" w:color="auto" w:sz="4" w:space="0"/>
              <w:right w:val="single" w:color="auto" w:sz="4" w:space="0"/>
            </w:tcBorders>
            <w:shd w:val="clear" w:color="auto" w:fill="auto"/>
            <w:noWrap/>
            <w:vAlign w:val="center"/>
          </w:tcPr>
          <w:p w14:paraId="3441828C">
            <w:pPr>
              <w:widowControl/>
              <w:jc w:val="center"/>
              <w:rPr>
                <w:color w:val="000000"/>
                <w:kern w:val="0"/>
                <w:sz w:val="24"/>
              </w:rPr>
            </w:pPr>
            <w:r>
              <w:rPr>
                <w:color w:val="000000"/>
                <w:kern w:val="0"/>
                <w:sz w:val="24"/>
              </w:rPr>
              <w:t>2倍</w:t>
            </w:r>
          </w:p>
        </w:tc>
        <w:tc>
          <w:tcPr>
            <w:tcW w:w="1060" w:type="pct"/>
            <w:tcBorders>
              <w:top w:val="nil"/>
              <w:left w:val="nil"/>
              <w:bottom w:val="single" w:color="auto" w:sz="4" w:space="0"/>
              <w:right w:val="single" w:color="auto" w:sz="4" w:space="0"/>
            </w:tcBorders>
            <w:shd w:val="clear" w:color="auto" w:fill="auto"/>
            <w:noWrap/>
            <w:vAlign w:val="center"/>
          </w:tcPr>
          <w:p w14:paraId="54EC13D4">
            <w:pPr>
              <w:widowControl/>
              <w:jc w:val="center"/>
              <w:rPr>
                <w:color w:val="000000"/>
                <w:kern w:val="0"/>
                <w:sz w:val="24"/>
              </w:rPr>
            </w:pPr>
            <w:r>
              <w:rPr>
                <w:color w:val="000000"/>
                <w:kern w:val="0"/>
                <w:sz w:val="24"/>
              </w:rPr>
              <w:t>1.7倍</w:t>
            </w:r>
          </w:p>
        </w:tc>
        <w:tc>
          <w:tcPr>
            <w:tcW w:w="1060" w:type="pct"/>
            <w:tcBorders>
              <w:top w:val="nil"/>
              <w:left w:val="nil"/>
              <w:bottom w:val="single" w:color="auto" w:sz="4" w:space="0"/>
              <w:right w:val="single" w:color="auto" w:sz="4" w:space="0"/>
            </w:tcBorders>
            <w:shd w:val="clear" w:color="auto" w:fill="auto"/>
            <w:noWrap/>
            <w:vAlign w:val="center"/>
          </w:tcPr>
          <w:p w14:paraId="7AFD8838">
            <w:pPr>
              <w:widowControl/>
              <w:jc w:val="center"/>
              <w:rPr>
                <w:color w:val="000000"/>
                <w:kern w:val="0"/>
                <w:sz w:val="24"/>
              </w:rPr>
            </w:pPr>
            <w:r>
              <w:rPr>
                <w:color w:val="000000"/>
                <w:kern w:val="0"/>
                <w:sz w:val="24"/>
              </w:rPr>
              <w:t>1.5倍</w:t>
            </w:r>
          </w:p>
        </w:tc>
      </w:tr>
      <w:tr w14:paraId="7E5953F2">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49BAC6A3">
            <w:pPr>
              <w:widowControl/>
              <w:jc w:val="center"/>
              <w:rPr>
                <w:color w:val="000000"/>
                <w:kern w:val="0"/>
                <w:sz w:val="24"/>
              </w:rPr>
            </w:pPr>
            <w:r>
              <w:rPr>
                <w:color w:val="000000"/>
                <w:kern w:val="0"/>
                <w:sz w:val="24"/>
              </w:rPr>
              <w:t>4</w:t>
            </w:r>
          </w:p>
        </w:tc>
        <w:tc>
          <w:tcPr>
            <w:tcW w:w="1128" w:type="pct"/>
            <w:tcBorders>
              <w:top w:val="nil"/>
              <w:left w:val="nil"/>
              <w:bottom w:val="single" w:color="auto" w:sz="4" w:space="0"/>
              <w:right w:val="single" w:color="auto" w:sz="4" w:space="0"/>
            </w:tcBorders>
            <w:shd w:val="clear" w:color="auto" w:fill="auto"/>
            <w:noWrap/>
            <w:vAlign w:val="center"/>
          </w:tcPr>
          <w:p w14:paraId="4089DD4B">
            <w:pPr>
              <w:widowControl/>
              <w:jc w:val="center"/>
              <w:rPr>
                <w:color w:val="000000"/>
                <w:kern w:val="0"/>
                <w:sz w:val="24"/>
              </w:rPr>
            </w:pPr>
            <w:r>
              <w:rPr>
                <w:color w:val="000000"/>
                <w:kern w:val="0"/>
                <w:sz w:val="24"/>
              </w:rPr>
              <w:t>绝缘等级</w:t>
            </w:r>
          </w:p>
        </w:tc>
        <w:tc>
          <w:tcPr>
            <w:tcW w:w="895" w:type="pct"/>
            <w:tcBorders>
              <w:top w:val="nil"/>
              <w:left w:val="nil"/>
              <w:bottom w:val="single" w:color="auto" w:sz="4" w:space="0"/>
              <w:right w:val="single" w:color="auto" w:sz="4" w:space="0"/>
            </w:tcBorders>
            <w:shd w:val="clear" w:color="auto" w:fill="auto"/>
            <w:noWrap/>
            <w:vAlign w:val="center"/>
          </w:tcPr>
          <w:p w14:paraId="40106307">
            <w:pPr>
              <w:widowControl/>
              <w:jc w:val="center"/>
              <w:rPr>
                <w:color w:val="000000"/>
                <w:kern w:val="0"/>
                <w:sz w:val="24"/>
              </w:rPr>
            </w:pPr>
            <w:r>
              <w:rPr>
                <w:color w:val="000000"/>
                <w:kern w:val="0"/>
                <w:sz w:val="24"/>
              </w:rPr>
              <w:t>F</w:t>
            </w:r>
          </w:p>
        </w:tc>
        <w:tc>
          <w:tcPr>
            <w:tcW w:w="1060" w:type="pct"/>
            <w:tcBorders>
              <w:top w:val="nil"/>
              <w:left w:val="nil"/>
              <w:bottom w:val="single" w:color="auto" w:sz="4" w:space="0"/>
              <w:right w:val="single" w:color="auto" w:sz="4" w:space="0"/>
            </w:tcBorders>
            <w:shd w:val="clear" w:color="auto" w:fill="auto"/>
            <w:noWrap/>
            <w:vAlign w:val="center"/>
          </w:tcPr>
          <w:p w14:paraId="03C8153B">
            <w:pPr>
              <w:widowControl/>
              <w:jc w:val="center"/>
              <w:rPr>
                <w:color w:val="000000"/>
                <w:kern w:val="0"/>
                <w:sz w:val="24"/>
              </w:rPr>
            </w:pPr>
            <w:r>
              <w:rPr>
                <w:color w:val="000000"/>
                <w:kern w:val="0"/>
                <w:sz w:val="24"/>
              </w:rPr>
              <w:t>F</w:t>
            </w:r>
          </w:p>
        </w:tc>
        <w:tc>
          <w:tcPr>
            <w:tcW w:w="1060" w:type="pct"/>
            <w:tcBorders>
              <w:top w:val="nil"/>
              <w:left w:val="nil"/>
              <w:bottom w:val="single" w:color="auto" w:sz="4" w:space="0"/>
              <w:right w:val="single" w:color="auto" w:sz="4" w:space="0"/>
            </w:tcBorders>
            <w:shd w:val="clear" w:color="auto" w:fill="auto"/>
            <w:noWrap/>
            <w:vAlign w:val="center"/>
          </w:tcPr>
          <w:p w14:paraId="54E627C6">
            <w:pPr>
              <w:widowControl/>
              <w:jc w:val="center"/>
              <w:rPr>
                <w:color w:val="000000"/>
                <w:kern w:val="0"/>
                <w:sz w:val="24"/>
              </w:rPr>
            </w:pPr>
            <w:r>
              <w:rPr>
                <w:color w:val="000000"/>
                <w:kern w:val="0"/>
                <w:sz w:val="24"/>
              </w:rPr>
              <w:t>F</w:t>
            </w:r>
          </w:p>
        </w:tc>
      </w:tr>
      <w:tr w14:paraId="68D20736">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41144B3F">
            <w:pPr>
              <w:widowControl/>
              <w:jc w:val="center"/>
              <w:rPr>
                <w:color w:val="000000"/>
                <w:kern w:val="0"/>
                <w:sz w:val="24"/>
              </w:rPr>
            </w:pPr>
            <w:r>
              <w:rPr>
                <w:color w:val="000000"/>
                <w:kern w:val="0"/>
                <w:sz w:val="24"/>
              </w:rPr>
              <w:t>5</w:t>
            </w:r>
          </w:p>
        </w:tc>
        <w:tc>
          <w:tcPr>
            <w:tcW w:w="1128" w:type="pct"/>
            <w:tcBorders>
              <w:top w:val="nil"/>
              <w:left w:val="nil"/>
              <w:bottom w:val="single" w:color="auto" w:sz="4" w:space="0"/>
              <w:right w:val="single" w:color="auto" w:sz="4" w:space="0"/>
            </w:tcBorders>
            <w:shd w:val="clear" w:color="auto" w:fill="auto"/>
            <w:noWrap/>
            <w:vAlign w:val="center"/>
          </w:tcPr>
          <w:p w14:paraId="5B512380">
            <w:pPr>
              <w:widowControl/>
              <w:jc w:val="center"/>
              <w:rPr>
                <w:color w:val="000000"/>
                <w:kern w:val="0"/>
                <w:sz w:val="24"/>
              </w:rPr>
            </w:pPr>
            <w:r>
              <w:rPr>
                <w:color w:val="000000"/>
                <w:kern w:val="0"/>
                <w:sz w:val="24"/>
              </w:rPr>
              <w:t>绝缘电阻</w:t>
            </w:r>
          </w:p>
        </w:tc>
        <w:tc>
          <w:tcPr>
            <w:tcW w:w="895" w:type="pct"/>
            <w:tcBorders>
              <w:top w:val="nil"/>
              <w:left w:val="nil"/>
              <w:bottom w:val="single" w:color="auto" w:sz="4" w:space="0"/>
              <w:right w:val="single" w:color="auto" w:sz="4" w:space="0"/>
            </w:tcBorders>
            <w:shd w:val="clear" w:color="auto" w:fill="auto"/>
            <w:noWrap/>
            <w:vAlign w:val="center"/>
          </w:tcPr>
          <w:p w14:paraId="2D42203E">
            <w:pPr>
              <w:widowControl/>
              <w:jc w:val="center"/>
              <w:rPr>
                <w:color w:val="000000"/>
                <w:kern w:val="0"/>
                <w:sz w:val="24"/>
              </w:rPr>
            </w:pPr>
            <w:r>
              <w:rPr>
                <w:color w:val="000000"/>
                <w:kern w:val="0"/>
                <w:sz w:val="24"/>
              </w:rPr>
              <w:t>200MΩ</w:t>
            </w:r>
          </w:p>
        </w:tc>
        <w:tc>
          <w:tcPr>
            <w:tcW w:w="1060" w:type="pct"/>
            <w:tcBorders>
              <w:top w:val="nil"/>
              <w:left w:val="nil"/>
              <w:bottom w:val="single" w:color="auto" w:sz="4" w:space="0"/>
              <w:right w:val="single" w:color="auto" w:sz="4" w:space="0"/>
            </w:tcBorders>
            <w:shd w:val="clear" w:color="auto" w:fill="auto"/>
            <w:noWrap/>
            <w:vAlign w:val="center"/>
          </w:tcPr>
          <w:p w14:paraId="4D628CD8">
            <w:pPr>
              <w:widowControl/>
              <w:jc w:val="center"/>
              <w:rPr>
                <w:color w:val="000000"/>
                <w:kern w:val="0"/>
                <w:sz w:val="24"/>
              </w:rPr>
            </w:pPr>
            <w:r>
              <w:rPr>
                <w:color w:val="000000"/>
                <w:kern w:val="0"/>
                <w:sz w:val="24"/>
              </w:rPr>
              <w:t>100MΩ</w:t>
            </w:r>
          </w:p>
        </w:tc>
        <w:tc>
          <w:tcPr>
            <w:tcW w:w="1060" w:type="pct"/>
            <w:tcBorders>
              <w:top w:val="nil"/>
              <w:left w:val="nil"/>
              <w:bottom w:val="single" w:color="auto" w:sz="4" w:space="0"/>
              <w:right w:val="single" w:color="auto" w:sz="4" w:space="0"/>
            </w:tcBorders>
            <w:shd w:val="clear" w:color="auto" w:fill="auto"/>
            <w:noWrap/>
            <w:vAlign w:val="center"/>
          </w:tcPr>
          <w:p w14:paraId="3149E4FD">
            <w:pPr>
              <w:widowControl/>
              <w:jc w:val="center"/>
              <w:rPr>
                <w:color w:val="000000"/>
                <w:kern w:val="0"/>
                <w:sz w:val="24"/>
              </w:rPr>
            </w:pPr>
            <w:r>
              <w:rPr>
                <w:color w:val="000000"/>
                <w:kern w:val="0"/>
                <w:sz w:val="24"/>
              </w:rPr>
              <w:t>5MΩ</w:t>
            </w:r>
          </w:p>
        </w:tc>
      </w:tr>
      <w:tr w14:paraId="03CC0BC7">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5C43CE9B">
            <w:pPr>
              <w:widowControl/>
              <w:jc w:val="center"/>
              <w:rPr>
                <w:color w:val="000000"/>
                <w:kern w:val="0"/>
                <w:sz w:val="24"/>
              </w:rPr>
            </w:pPr>
            <w:r>
              <w:rPr>
                <w:color w:val="000000"/>
                <w:kern w:val="0"/>
                <w:sz w:val="24"/>
              </w:rPr>
              <w:t>6</w:t>
            </w:r>
          </w:p>
        </w:tc>
        <w:tc>
          <w:tcPr>
            <w:tcW w:w="1128" w:type="pct"/>
            <w:tcBorders>
              <w:top w:val="nil"/>
              <w:left w:val="nil"/>
              <w:bottom w:val="single" w:color="auto" w:sz="4" w:space="0"/>
              <w:right w:val="single" w:color="auto" w:sz="4" w:space="0"/>
            </w:tcBorders>
            <w:shd w:val="clear" w:color="auto" w:fill="auto"/>
            <w:noWrap/>
            <w:vAlign w:val="center"/>
          </w:tcPr>
          <w:p w14:paraId="7E19E80D">
            <w:pPr>
              <w:widowControl/>
              <w:jc w:val="center"/>
              <w:rPr>
                <w:color w:val="000000"/>
                <w:kern w:val="0"/>
                <w:sz w:val="24"/>
              </w:rPr>
            </w:pPr>
            <w:r>
              <w:rPr>
                <w:color w:val="000000"/>
                <w:kern w:val="0"/>
                <w:sz w:val="24"/>
              </w:rPr>
              <w:t>曳引机温升</w:t>
            </w:r>
          </w:p>
        </w:tc>
        <w:tc>
          <w:tcPr>
            <w:tcW w:w="895" w:type="pct"/>
            <w:tcBorders>
              <w:top w:val="nil"/>
              <w:left w:val="nil"/>
              <w:bottom w:val="single" w:color="auto" w:sz="4" w:space="0"/>
              <w:right w:val="single" w:color="auto" w:sz="4" w:space="0"/>
            </w:tcBorders>
            <w:shd w:val="clear" w:color="auto" w:fill="auto"/>
            <w:noWrap/>
            <w:vAlign w:val="center"/>
          </w:tcPr>
          <w:p w14:paraId="5DED845B">
            <w:pPr>
              <w:widowControl/>
              <w:jc w:val="center"/>
              <w:rPr>
                <w:color w:val="000000"/>
                <w:kern w:val="0"/>
                <w:sz w:val="24"/>
              </w:rPr>
            </w:pPr>
            <w:r>
              <w:rPr>
                <w:color w:val="000000"/>
                <w:kern w:val="0"/>
                <w:sz w:val="24"/>
              </w:rPr>
              <w:t>≤85K</w:t>
            </w:r>
          </w:p>
        </w:tc>
        <w:tc>
          <w:tcPr>
            <w:tcW w:w="1060" w:type="pct"/>
            <w:tcBorders>
              <w:top w:val="nil"/>
              <w:left w:val="nil"/>
              <w:bottom w:val="single" w:color="auto" w:sz="4" w:space="0"/>
              <w:right w:val="single" w:color="auto" w:sz="4" w:space="0"/>
            </w:tcBorders>
            <w:shd w:val="clear" w:color="auto" w:fill="auto"/>
            <w:noWrap/>
            <w:vAlign w:val="center"/>
          </w:tcPr>
          <w:p w14:paraId="4017A322">
            <w:pPr>
              <w:widowControl/>
              <w:jc w:val="center"/>
              <w:rPr>
                <w:color w:val="000000"/>
                <w:kern w:val="0"/>
                <w:sz w:val="24"/>
              </w:rPr>
            </w:pPr>
            <w:r>
              <w:rPr>
                <w:color w:val="000000"/>
                <w:kern w:val="0"/>
                <w:sz w:val="24"/>
              </w:rPr>
              <w:t>≤95K</w:t>
            </w:r>
          </w:p>
        </w:tc>
        <w:tc>
          <w:tcPr>
            <w:tcW w:w="1060" w:type="pct"/>
            <w:tcBorders>
              <w:top w:val="nil"/>
              <w:left w:val="nil"/>
              <w:bottom w:val="single" w:color="auto" w:sz="4" w:space="0"/>
              <w:right w:val="single" w:color="auto" w:sz="4" w:space="0"/>
            </w:tcBorders>
            <w:shd w:val="clear" w:color="auto" w:fill="auto"/>
            <w:noWrap/>
            <w:vAlign w:val="center"/>
          </w:tcPr>
          <w:p w14:paraId="75410EE0">
            <w:pPr>
              <w:widowControl/>
              <w:jc w:val="center"/>
              <w:rPr>
                <w:color w:val="000000"/>
                <w:kern w:val="0"/>
                <w:sz w:val="24"/>
              </w:rPr>
            </w:pPr>
            <w:r>
              <w:rPr>
                <w:color w:val="000000"/>
                <w:kern w:val="0"/>
                <w:sz w:val="24"/>
              </w:rPr>
              <w:t>≤105K</w:t>
            </w:r>
          </w:p>
        </w:tc>
      </w:tr>
      <w:tr w14:paraId="40E7511B">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2D58BF99">
            <w:pPr>
              <w:widowControl/>
              <w:jc w:val="center"/>
              <w:rPr>
                <w:color w:val="000000"/>
                <w:kern w:val="0"/>
                <w:sz w:val="24"/>
              </w:rPr>
            </w:pPr>
            <w:r>
              <w:rPr>
                <w:color w:val="000000"/>
                <w:kern w:val="0"/>
                <w:sz w:val="24"/>
              </w:rPr>
              <w:t>7</w:t>
            </w:r>
          </w:p>
        </w:tc>
        <w:tc>
          <w:tcPr>
            <w:tcW w:w="1128" w:type="pct"/>
            <w:tcBorders>
              <w:top w:val="nil"/>
              <w:left w:val="nil"/>
              <w:bottom w:val="single" w:color="auto" w:sz="4" w:space="0"/>
              <w:right w:val="single" w:color="auto" w:sz="4" w:space="0"/>
            </w:tcBorders>
            <w:shd w:val="clear" w:color="auto" w:fill="auto"/>
            <w:noWrap/>
            <w:vAlign w:val="center"/>
          </w:tcPr>
          <w:p w14:paraId="5F9D9A7E">
            <w:pPr>
              <w:widowControl/>
              <w:jc w:val="center"/>
              <w:rPr>
                <w:color w:val="000000"/>
                <w:kern w:val="0"/>
                <w:sz w:val="24"/>
              </w:rPr>
            </w:pPr>
            <w:r>
              <w:rPr>
                <w:color w:val="000000"/>
                <w:kern w:val="0"/>
                <w:sz w:val="24"/>
              </w:rPr>
              <w:t>制动器噪音</w:t>
            </w:r>
          </w:p>
        </w:tc>
        <w:tc>
          <w:tcPr>
            <w:tcW w:w="895" w:type="pct"/>
            <w:tcBorders>
              <w:top w:val="nil"/>
              <w:left w:val="nil"/>
              <w:bottom w:val="single" w:color="auto" w:sz="4" w:space="0"/>
              <w:right w:val="single" w:color="auto" w:sz="4" w:space="0"/>
            </w:tcBorders>
            <w:shd w:val="clear" w:color="auto" w:fill="auto"/>
            <w:noWrap/>
            <w:vAlign w:val="center"/>
          </w:tcPr>
          <w:p w14:paraId="4E232278">
            <w:pPr>
              <w:widowControl/>
              <w:jc w:val="center"/>
              <w:rPr>
                <w:color w:val="000000"/>
                <w:kern w:val="0"/>
                <w:sz w:val="24"/>
              </w:rPr>
            </w:pPr>
            <w:r>
              <w:rPr>
                <w:color w:val="000000"/>
                <w:kern w:val="0"/>
                <w:sz w:val="24"/>
              </w:rPr>
              <w:t>≤48dB</w:t>
            </w:r>
          </w:p>
        </w:tc>
        <w:tc>
          <w:tcPr>
            <w:tcW w:w="1060" w:type="pct"/>
            <w:tcBorders>
              <w:top w:val="nil"/>
              <w:left w:val="nil"/>
              <w:bottom w:val="single" w:color="auto" w:sz="4" w:space="0"/>
              <w:right w:val="single" w:color="auto" w:sz="4" w:space="0"/>
            </w:tcBorders>
            <w:shd w:val="clear" w:color="auto" w:fill="auto"/>
            <w:noWrap/>
            <w:vAlign w:val="center"/>
          </w:tcPr>
          <w:p w14:paraId="4120DC49">
            <w:pPr>
              <w:widowControl/>
              <w:jc w:val="center"/>
              <w:rPr>
                <w:color w:val="000000"/>
                <w:kern w:val="0"/>
                <w:sz w:val="24"/>
              </w:rPr>
            </w:pPr>
            <w:r>
              <w:rPr>
                <w:color w:val="000000"/>
                <w:kern w:val="0"/>
                <w:sz w:val="24"/>
              </w:rPr>
              <w:t>≤50dB</w:t>
            </w:r>
          </w:p>
        </w:tc>
        <w:tc>
          <w:tcPr>
            <w:tcW w:w="1060" w:type="pct"/>
            <w:tcBorders>
              <w:top w:val="nil"/>
              <w:left w:val="nil"/>
              <w:bottom w:val="single" w:color="auto" w:sz="4" w:space="0"/>
              <w:right w:val="single" w:color="auto" w:sz="4" w:space="0"/>
            </w:tcBorders>
            <w:shd w:val="clear" w:color="auto" w:fill="auto"/>
            <w:noWrap/>
            <w:vAlign w:val="center"/>
          </w:tcPr>
          <w:p w14:paraId="2B09A3BF">
            <w:pPr>
              <w:widowControl/>
              <w:jc w:val="center"/>
              <w:rPr>
                <w:color w:val="000000"/>
                <w:kern w:val="0"/>
                <w:sz w:val="24"/>
              </w:rPr>
            </w:pPr>
            <w:r>
              <w:rPr>
                <w:color w:val="000000"/>
                <w:kern w:val="0"/>
                <w:sz w:val="24"/>
              </w:rPr>
              <w:t>≤70dB</w:t>
            </w:r>
          </w:p>
        </w:tc>
      </w:tr>
      <w:tr w14:paraId="4CB624F7">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005FFC8D">
            <w:pPr>
              <w:widowControl/>
              <w:jc w:val="center"/>
              <w:rPr>
                <w:color w:val="000000"/>
                <w:kern w:val="0"/>
                <w:sz w:val="24"/>
              </w:rPr>
            </w:pPr>
            <w:r>
              <w:rPr>
                <w:color w:val="000000"/>
                <w:kern w:val="0"/>
                <w:sz w:val="24"/>
              </w:rPr>
              <w:t>8</w:t>
            </w:r>
          </w:p>
        </w:tc>
        <w:tc>
          <w:tcPr>
            <w:tcW w:w="1128" w:type="pct"/>
            <w:tcBorders>
              <w:top w:val="nil"/>
              <w:left w:val="nil"/>
              <w:bottom w:val="single" w:color="auto" w:sz="4" w:space="0"/>
              <w:right w:val="single" w:color="auto" w:sz="4" w:space="0"/>
            </w:tcBorders>
            <w:shd w:val="clear" w:color="auto" w:fill="auto"/>
            <w:noWrap/>
            <w:vAlign w:val="center"/>
          </w:tcPr>
          <w:p w14:paraId="2DB30970">
            <w:pPr>
              <w:widowControl/>
              <w:jc w:val="center"/>
              <w:rPr>
                <w:color w:val="000000"/>
                <w:kern w:val="0"/>
                <w:sz w:val="24"/>
              </w:rPr>
            </w:pPr>
            <w:r>
              <w:rPr>
                <w:color w:val="000000"/>
                <w:kern w:val="0"/>
                <w:sz w:val="24"/>
              </w:rPr>
              <w:t>制动力矩</w:t>
            </w:r>
          </w:p>
        </w:tc>
        <w:tc>
          <w:tcPr>
            <w:tcW w:w="895" w:type="pct"/>
            <w:tcBorders>
              <w:top w:val="nil"/>
              <w:left w:val="nil"/>
              <w:bottom w:val="single" w:color="auto" w:sz="4" w:space="0"/>
              <w:right w:val="single" w:color="auto" w:sz="4" w:space="0"/>
            </w:tcBorders>
            <w:shd w:val="clear" w:color="auto" w:fill="auto"/>
            <w:noWrap/>
            <w:vAlign w:val="center"/>
          </w:tcPr>
          <w:p w14:paraId="726A150D">
            <w:pPr>
              <w:widowControl/>
              <w:jc w:val="center"/>
              <w:rPr>
                <w:color w:val="000000"/>
                <w:kern w:val="0"/>
                <w:sz w:val="24"/>
              </w:rPr>
            </w:pPr>
            <w:r>
              <w:rPr>
                <w:color w:val="000000"/>
                <w:kern w:val="0"/>
                <w:sz w:val="24"/>
              </w:rPr>
              <w:t>3倍额定扭矩</w:t>
            </w:r>
          </w:p>
        </w:tc>
        <w:tc>
          <w:tcPr>
            <w:tcW w:w="1060" w:type="pct"/>
            <w:tcBorders>
              <w:top w:val="nil"/>
              <w:left w:val="nil"/>
              <w:bottom w:val="single" w:color="auto" w:sz="4" w:space="0"/>
              <w:right w:val="single" w:color="auto" w:sz="4" w:space="0"/>
            </w:tcBorders>
            <w:shd w:val="clear" w:color="auto" w:fill="auto"/>
            <w:noWrap/>
            <w:vAlign w:val="center"/>
          </w:tcPr>
          <w:p w14:paraId="6BB46D1F">
            <w:pPr>
              <w:widowControl/>
              <w:jc w:val="center"/>
              <w:rPr>
                <w:color w:val="000000"/>
                <w:kern w:val="0"/>
                <w:sz w:val="24"/>
              </w:rPr>
            </w:pPr>
            <w:r>
              <w:rPr>
                <w:color w:val="000000"/>
                <w:kern w:val="0"/>
                <w:sz w:val="24"/>
              </w:rPr>
              <w:t>2.7倍额定扭矩</w:t>
            </w:r>
          </w:p>
        </w:tc>
        <w:tc>
          <w:tcPr>
            <w:tcW w:w="1060" w:type="pct"/>
            <w:tcBorders>
              <w:top w:val="nil"/>
              <w:left w:val="nil"/>
              <w:bottom w:val="single" w:color="auto" w:sz="4" w:space="0"/>
              <w:right w:val="single" w:color="auto" w:sz="4" w:space="0"/>
            </w:tcBorders>
            <w:shd w:val="clear" w:color="auto" w:fill="auto"/>
            <w:noWrap/>
            <w:vAlign w:val="center"/>
          </w:tcPr>
          <w:p w14:paraId="742FF6E1">
            <w:pPr>
              <w:widowControl/>
              <w:jc w:val="center"/>
              <w:rPr>
                <w:color w:val="000000"/>
                <w:kern w:val="0"/>
                <w:sz w:val="24"/>
              </w:rPr>
            </w:pPr>
            <w:r>
              <w:rPr>
                <w:color w:val="000000"/>
                <w:kern w:val="0"/>
                <w:sz w:val="24"/>
              </w:rPr>
              <w:t>2.5倍额定扭矩</w:t>
            </w:r>
          </w:p>
        </w:tc>
      </w:tr>
      <w:tr w14:paraId="4DDE265F">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21E43C17">
            <w:pPr>
              <w:widowControl/>
              <w:jc w:val="center"/>
              <w:rPr>
                <w:color w:val="000000"/>
                <w:kern w:val="0"/>
                <w:sz w:val="24"/>
              </w:rPr>
            </w:pPr>
            <w:r>
              <w:rPr>
                <w:color w:val="000000"/>
                <w:kern w:val="0"/>
                <w:sz w:val="24"/>
              </w:rPr>
              <w:t>9</w:t>
            </w:r>
          </w:p>
        </w:tc>
        <w:tc>
          <w:tcPr>
            <w:tcW w:w="1128" w:type="pct"/>
            <w:tcBorders>
              <w:top w:val="nil"/>
              <w:left w:val="nil"/>
              <w:bottom w:val="single" w:color="auto" w:sz="4" w:space="0"/>
              <w:right w:val="single" w:color="auto" w:sz="4" w:space="0"/>
            </w:tcBorders>
            <w:shd w:val="clear" w:color="auto" w:fill="auto"/>
            <w:noWrap/>
            <w:vAlign w:val="center"/>
          </w:tcPr>
          <w:p w14:paraId="5E21A6A2">
            <w:pPr>
              <w:widowControl/>
              <w:jc w:val="center"/>
              <w:rPr>
                <w:color w:val="000000"/>
                <w:kern w:val="0"/>
                <w:sz w:val="24"/>
              </w:rPr>
            </w:pPr>
            <w:r>
              <w:rPr>
                <w:color w:val="000000"/>
                <w:kern w:val="0"/>
                <w:sz w:val="24"/>
              </w:rPr>
              <w:t>制动器寿命</w:t>
            </w:r>
          </w:p>
        </w:tc>
        <w:tc>
          <w:tcPr>
            <w:tcW w:w="895" w:type="pct"/>
            <w:tcBorders>
              <w:top w:val="nil"/>
              <w:left w:val="nil"/>
              <w:bottom w:val="single" w:color="auto" w:sz="4" w:space="0"/>
              <w:right w:val="single" w:color="auto" w:sz="4" w:space="0"/>
            </w:tcBorders>
            <w:shd w:val="clear" w:color="auto" w:fill="auto"/>
            <w:noWrap/>
            <w:vAlign w:val="center"/>
          </w:tcPr>
          <w:p w14:paraId="134DF06A">
            <w:pPr>
              <w:widowControl/>
              <w:jc w:val="center"/>
              <w:rPr>
                <w:color w:val="000000"/>
                <w:kern w:val="0"/>
                <w:sz w:val="24"/>
              </w:rPr>
            </w:pPr>
            <w:r>
              <w:rPr>
                <w:color w:val="000000"/>
                <w:kern w:val="0"/>
                <w:sz w:val="24"/>
              </w:rPr>
              <w:t>500W次</w:t>
            </w:r>
          </w:p>
        </w:tc>
        <w:tc>
          <w:tcPr>
            <w:tcW w:w="1060" w:type="pct"/>
            <w:tcBorders>
              <w:top w:val="nil"/>
              <w:left w:val="nil"/>
              <w:bottom w:val="single" w:color="auto" w:sz="4" w:space="0"/>
              <w:right w:val="single" w:color="auto" w:sz="4" w:space="0"/>
            </w:tcBorders>
            <w:shd w:val="clear" w:color="auto" w:fill="auto"/>
            <w:noWrap/>
            <w:vAlign w:val="center"/>
          </w:tcPr>
          <w:p w14:paraId="06F737EF">
            <w:pPr>
              <w:widowControl/>
              <w:jc w:val="center"/>
              <w:rPr>
                <w:color w:val="000000"/>
                <w:kern w:val="0"/>
                <w:sz w:val="24"/>
              </w:rPr>
            </w:pPr>
            <w:r>
              <w:rPr>
                <w:color w:val="000000"/>
                <w:kern w:val="0"/>
                <w:sz w:val="24"/>
              </w:rPr>
              <w:t>300W次</w:t>
            </w:r>
          </w:p>
        </w:tc>
        <w:tc>
          <w:tcPr>
            <w:tcW w:w="1060" w:type="pct"/>
            <w:tcBorders>
              <w:top w:val="nil"/>
              <w:left w:val="nil"/>
              <w:bottom w:val="single" w:color="auto" w:sz="4" w:space="0"/>
              <w:right w:val="single" w:color="auto" w:sz="4" w:space="0"/>
            </w:tcBorders>
            <w:shd w:val="clear" w:color="auto" w:fill="auto"/>
            <w:noWrap/>
            <w:vAlign w:val="center"/>
          </w:tcPr>
          <w:p w14:paraId="2ADD2666">
            <w:pPr>
              <w:widowControl/>
              <w:jc w:val="center"/>
              <w:rPr>
                <w:color w:val="000000"/>
                <w:kern w:val="0"/>
                <w:sz w:val="24"/>
              </w:rPr>
            </w:pPr>
            <w:r>
              <w:rPr>
                <w:color w:val="000000"/>
                <w:kern w:val="0"/>
                <w:sz w:val="24"/>
              </w:rPr>
              <w:t>200W次</w:t>
            </w:r>
          </w:p>
        </w:tc>
      </w:tr>
      <w:tr w14:paraId="0A6375B7">
        <w:tblPrEx>
          <w:tblCellMar>
            <w:top w:w="0" w:type="dxa"/>
            <w:left w:w="108" w:type="dxa"/>
            <w:bottom w:w="0" w:type="dxa"/>
            <w:right w:w="108" w:type="dxa"/>
          </w:tblCellMar>
        </w:tblPrEx>
        <w:tc>
          <w:tcPr>
            <w:tcW w:w="857" w:type="pct"/>
            <w:tcBorders>
              <w:top w:val="nil"/>
              <w:left w:val="single" w:color="auto" w:sz="4" w:space="0"/>
              <w:bottom w:val="single" w:color="auto" w:sz="4" w:space="0"/>
              <w:right w:val="single" w:color="auto" w:sz="4" w:space="0"/>
            </w:tcBorders>
            <w:shd w:val="clear" w:color="auto" w:fill="auto"/>
            <w:noWrap/>
            <w:vAlign w:val="center"/>
          </w:tcPr>
          <w:p w14:paraId="5FD9A17A">
            <w:pPr>
              <w:widowControl/>
              <w:jc w:val="center"/>
              <w:rPr>
                <w:color w:val="000000"/>
                <w:kern w:val="0"/>
                <w:sz w:val="24"/>
              </w:rPr>
            </w:pPr>
            <w:r>
              <w:rPr>
                <w:color w:val="000000"/>
                <w:kern w:val="0"/>
                <w:sz w:val="24"/>
              </w:rPr>
              <w:t>10</w:t>
            </w:r>
          </w:p>
        </w:tc>
        <w:tc>
          <w:tcPr>
            <w:tcW w:w="1128" w:type="pct"/>
            <w:tcBorders>
              <w:top w:val="nil"/>
              <w:left w:val="nil"/>
              <w:bottom w:val="single" w:color="auto" w:sz="4" w:space="0"/>
              <w:right w:val="single" w:color="auto" w:sz="4" w:space="0"/>
            </w:tcBorders>
            <w:shd w:val="clear" w:color="auto" w:fill="auto"/>
            <w:noWrap/>
            <w:vAlign w:val="center"/>
          </w:tcPr>
          <w:p w14:paraId="435F9561">
            <w:pPr>
              <w:widowControl/>
              <w:jc w:val="center"/>
              <w:rPr>
                <w:color w:val="000000"/>
                <w:kern w:val="0"/>
                <w:sz w:val="24"/>
              </w:rPr>
            </w:pPr>
            <w:r>
              <w:rPr>
                <w:color w:val="000000"/>
                <w:kern w:val="0"/>
                <w:sz w:val="24"/>
              </w:rPr>
              <w:t>制动器响应时间</w:t>
            </w:r>
          </w:p>
        </w:tc>
        <w:tc>
          <w:tcPr>
            <w:tcW w:w="895" w:type="pct"/>
            <w:tcBorders>
              <w:top w:val="nil"/>
              <w:left w:val="nil"/>
              <w:bottom w:val="single" w:color="auto" w:sz="4" w:space="0"/>
              <w:right w:val="single" w:color="auto" w:sz="4" w:space="0"/>
            </w:tcBorders>
            <w:shd w:val="clear" w:color="auto" w:fill="auto"/>
            <w:noWrap/>
            <w:vAlign w:val="center"/>
          </w:tcPr>
          <w:p w14:paraId="28FCA507">
            <w:pPr>
              <w:widowControl/>
              <w:jc w:val="center"/>
              <w:rPr>
                <w:color w:val="000000"/>
                <w:kern w:val="0"/>
                <w:sz w:val="24"/>
              </w:rPr>
            </w:pPr>
            <w:r>
              <w:rPr>
                <w:color w:val="000000"/>
                <w:kern w:val="0"/>
                <w:sz w:val="24"/>
              </w:rPr>
              <w:t>150毫秒</w:t>
            </w:r>
          </w:p>
        </w:tc>
        <w:tc>
          <w:tcPr>
            <w:tcW w:w="1060" w:type="pct"/>
            <w:tcBorders>
              <w:top w:val="nil"/>
              <w:left w:val="nil"/>
              <w:bottom w:val="single" w:color="auto" w:sz="4" w:space="0"/>
              <w:right w:val="single" w:color="auto" w:sz="4" w:space="0"/>
            </w:tcBorders>
            <w:shd w:val="clear" w:color="auto" w:fill="auto"/>
            <w:noWrap/>
            <w:vAlign w:val="center"/>
          </w:tcPr>
          <w:p w14:paraId="4225C36F">
            <w:pPr>
              <w:widowControl/>
              <w:jc w:val="center"/>
              <w:rPr>
                <w:color w:val="000000"/>
                <w:kern w:val="0"/>
                <w:sz w:val="24"/>
              </w:rPr>
            </w:pPr>
            <w:r>
              <w:rPr>
                <w:color w:val="000000"/>
                <w:kern w:val="0"/>
                <w:sz w:val="24"/>
              </w:rPr>
              <w:t>200毫秒</w:t>
            </w:r>
          </w:p>
        </w:tc>
        <w:tc>
          <w:tcPr>
            <w:tcW w:w="1060" w:type="pct"/>
            <w:tcBorders>
              <w:top w:val="nil"/>
              <w:left w:val="nil"/>
              <w:bottom w:val="single" w:color="auto" w:sz="4" w:space="0"/>
              <w:right w:val="single" w:color="auto" w:sz="4" w:space="0"/>
            </w:tcBorders>
            <w:shd w:val="clear" w:color="auto" w:fill="auto"/>
            <w:noWrap/>
            <w:vAlign w:val="center"/>
          </w:tcPr>
          <w:p w14:paraId="3DAEEBA8">
            <w:pPr>
              <w:widowControl/>
              <w:jc w:val="center"/>
              <w:rPr>
                <w:color w:val="000000"/>
                <w:kern w:val="0"/>
                <w:sz w:val="24"/>
              </w:rPr>
            </w:pPr>
            <w:r>
              <w:rPr>
                <w:color w:val="000000"/>
                <w:kern w:val="0"/>
                <w:sz w:val="24"/>
              </w:rPr>
              <w:t>500毫秒</w:t>
            </w:r>
          </w:p>
        </w:tc>
      </w:tr>
    </w:tbl>
    <w:p w14:paraId="229EC3A1">
      <w:pPr>
        <w:adjustRightInd w:val="0"/>
        <w:snapToGrid w:val="0"/>
        <w:spacing w:line="300" w:lineRule="auto"/>
        <w:jc w:val="center"/>
        <w:rPr>
          <w:rFonts w:ascii="方正仿宋简体" w:eastAsia="方正仿宋简体"/>
          <w:bCs/>
          <w:sz w:val="24"/>
        </w:rPr>
      </w:pPr>
    </w:p>
    <w:p w14:paraId="4B6582EA">
      <w:pPr>
        <w:adjustRightInd w:val="0"/>
        <w:snapToGrid w:val="0"/>
        <w:spacing w:line="300" w:lineRule="auto"/>
        <w:outlineLvl w:val="2"/>
        <w:rPr>
          <w:rFonts w:ascii="方正仿宋简体" w:eastAsia="方正仿宋简体"/>
          <w:b/>
          <w:sz w:val="28"/>
          <w:szCs w:val="28"/>
        </w:rPr>
      </w:pPr>
      <w:bookmarkStart w:id="94" w:name="_Toc32166"/>
      <w:r>
        <w:rPr>
          <w:rFonts w:hint="eastAsia" w:ascii="方正仿宋简体" w:eastAsia="方正仿宋简体"/>
          <w:b/>
          <w:sz w:val="28"/>
          <w:szCs w:val="28"/>
        </w:rPr>
        <w:t>2.4.3 检测管理</w:t>
      </w:r>
      <w:bookmarkEnd w:id="94"/>
    </w:p>
    <w:p w14:paraId="3414285E">
      <w:pPr>
        <w:adjustRightInd w:val="0"/>
        <w:snapToGrid w:val="0"/>
        <w:spacing w:line="300" w:lineRule="auto"/>
        <w:ind w:firstLine="480" w:firstLineChars="200"/>
        <w:jc w:val="left"/>
        <w:rPr>
          <w:rFonts w:ascii="方正仿宋简体" w:eastAsia="方正仿宋简体"/>
          <w:bCs/>
          <w:sz w:val="24"/>
        </w:rPr>
      </w:pPr>
      <w:r>
        <w:rPr>
          <w:rFonts w:hint="eastAsia" w:ascii="方正仿宋简体" w:eastAsia="方正仿宋简体"/>
          <w:bCs/>
          <w:sz w:val="24"/>
        </w:rPr>
        <w:t>公司通过年度经营目标的考核管理、过程监控、产品测量、管理评审、顾客反馈、统计分析、合理化建议等途径从公司日常经营、员工、顾客等三个方面来识别公司的改进和创新机会，建立计划和目标。</w:t>
      </w:r>
    </w:p>
    <w:tbl>
      <w:tblPr>
        <w:tblStyle w:val="22"/>
        <w:tblW w:w="95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999"/>
        <w:gridCol w:w="6237"/>
      </w:tblGrid>
      <w:tr w14:paraId="5C642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13" w:type="dxa"/>
            <w:shd w:val="clear" w:color="auto" w:fill="183883"/>
            <w:vAlign w:val="center"/>
          </w:tcPr>
          <w:p w14:paraId="7C881495">
            <w:pPr>
              <w:adjustRightInd w:val="0"/>
              <w:snapToGrid w:val="0"/>
              <w:spacing w:line="300" w:lineRule="auto"/>
              <w:jc w:val="center"/>
              <w:rPr>
                <w:b/>
                <w:color w:val="FFFFFF"/>
                <w:sz w:val="24"/>
              </w:rPr>
            </w:pPr>
            <w:r>
              <w:rPr>
                <w:b/>
                <w:color w:val="FFFFFF"/>
                <w:sz w:val="24"/>
              </w:rPr>
              <w:t>驱动方面</w:t>
            </w:r>
          </w:p>
        </w:tc>
        <w:tc>
          <w:tcPr>
            <w:tcW w:w="1999" w:type="dxa"/>
            <w:shd w:val="clear" w:color="auto" w:fill="183883"/>
            <w:vAlign w:val="center"/>
          </w:tcPr>
          <w:p w14:paraId="4F064449">
            <w:pPr>
              <w:adjustRightInd w:val="0"/>
              <w:snapToGrid w:val="0"/>
              <w:spacing w:line="300" w:lineRule="auto"/>
              <w:jc w:val="center"/>
              <w:rPr>
                <w:b/>
                <w:color w:val="FFFFFF"/>
                <w:sz w:val="24"/>
              </w:rPr>
            </w:pPr>
            <w:r>
              <w:rPr>
                <w:b/>
                <w:color w:val="FFFFFF"/>
                <w:sz w:val="24"/>
              </w:rPr>
              <w:t>识别改进与创新方式</w:t>
            </w:r>
          </w:p>
        </w:tc>
        <w:tc>
          <w:tcPr>
            <w:tcW w:w="6237" w:type="dxa"/>
            <w:shd w:val="clear" w:color="auto" w:fill="183883"/>
            <w:vAlign w:val="center"/>
          </w:tcPr>
          <w:p w14:paraId="66D0D981">
            <w:pPr>
              <w:adjustRightInd w:val="0"/>
              <w:snapToGrid w:val="0"/>
              <w:spacing w:line="300" w:lineRule="auto"/>
              <w:jc w:val="center"/>
              <w:rPr>
                <w:b/>
                <w:color w:val="FFFFFF"/>
                <w:sz w:val="24"/>
              </w:rPr>
            </w:pPr>
            <w:r>
              <w:rPr>
                <w:b/>
                <w:color w:val="FFFFFF"/>
                <w:sz w:val="24"/>
              </w:rPr>
              <w:t>制定改进和创新计划与目标</w:t>
            </w:r>
          </w:p>
        </w:tc>
      </w:tr>
      <w:tr w14:paraId="7848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restart"/>
            <w:vAlign w:val="center"/>
          </w:tcPr>
          <w:p w14:paraId="50E4F8D5">
            <w:pPr>
              <w:adjustRightInd w:val="0"/>
              <w:snapToGrid w:val="0"/>
              <w:spacing w:line="300" w:lineRule="auto"/>
              <w:jc w:val="center"/>
              <w:rPr>
                <w:b/>
                <w:sz w:val="24"/>
              </w:rPr>
            </w:pPr>
            <w:r>
              <w:rPr>
                <w:b/>
                <w:sz w:val="24"/>
              </w:rPr>
              <w:t>日常经营</w:t>
            </w:r>
          </w:p>
        </w:tc>
        <w:tc>
          <w:tcPr>
            <w:tcW w:w="1999" w:type="dxa"/>
            <w:vAlign w:val="center"/>
          </w:tcPr>
          <w:p w14:paraId="3639169E">
            <w:pPr>
              <w:adjustRightInd w:val="0"/>
              <w:snapToGrid w:val="0"/>
              <w:spacing w:line="300" w:lineRule="auto"/>
              <w:jc w:val="center"/>
              <w:rPr>
                <w:sz w:val="24"/>
              </w:rPr>
            </w:pPr>
            <w:r>
              <w:rPr>
                <w:sz w:val="24"/>
              </w:rPr>
              <w:t>卓越绩效模式诊断</w:t>
            </w:r>
          </w:p>
        </w:tc>
        <w:tc>
          <w:tcPr>
            <w:tcW w:w="6237" w:type="dxa"/>
            <w:vAlign w:val="center"/>
          </w:tcPr>
          <w:p w14:paraId="08D760C6">
            <w:pPr>
              <w:adjustRightInd w:val="0"/>
              <w:snapToGrid w:val="0"/>
              <w:spacing w:line="300" w:lineRule="auto"/>
              <w:rPr>
                <w:sz w:val="24"/>
              </w:rPr>
            </w:pPr>
            <w:r>
              <w:rPr>
                <w:sz w:val="24"/>
              </w:rPr>
              <w:t>聘请专业咨询公司，公司内部成立推进小组，与外部咨询团队共同对企业经营现状进行诊断，分别识别出快赢、一般及专项改进机会，制定改进和创新计划和目标。</w:t>
            </w:r>
          </w:p>
        </w:tc>
      </w:tr>
      <w:tr w14:paraId="4AB6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0C41DC39">
            <w:pPr>
              <w:adjustRightInd w:val="0"/>
              <w:snapToGrid w:val="0"/>
              <w:spacing w:line="300" w:lineRule="auto"/>
              <w:jc w:val="center"/>
              <w:rPr>
                <w:b/>
                <w:sz w:val="24"/>
              </w:rPr>
            </w:pPr>
          </w:p>
        </w:tc>
        <w:tc>
          <w:tcPr>
            <w:tcW w:w="1999" w:type="dxa"/>
            <w:vAlign w:val="center"/>
          </w:tcPr>
          <w:p w14:paraId="078BE40C">
            <w:pPr>
              <w:adjustRightInd w:val="0"/>
              <w:snapToGrid w:val="0"/>
              <w:spacing w:line="300" w:lineRule="auto"/>
              <w:jc w:val="center"/>
              <w:rPr>
                <w:sz w:val="24"/>
              </w:rPr>
            </w:pPr>
            <w:r>
              <w:rPr>
                <w:sz w:val="24"/>
              </w:rPr>
              <w:t>管理评审</w:t>
            </w:r>
          </w:p>
        </w:tc>
        <w:tc>
          <w:tcPr>
            <w:tcW w:w="6237" w:type="dxa"/>
            <w:vAlign w:val="center"/>
          </w:tcPr>
          <w:p w14:paraId="0538F9AD">
            <w:pPr>
              <w:adjustRightInd w:val="0"/>
              <w:snapToGrid w:val="0"/>
              <w:spacing w:line="300" w:lineRule="auto"/>
              <w:rPr>
                <w:sz w:val="24"/>
              </w:rPr>
            </w:pPr>
            <w:r>
              <w:rPr>
                <w:sz w:val="24"/>
              </w:rPr>
              <w:t>定期召开管理评审会议，由各职能部门负责人从体系的角度识别管理、质量、环境、测量等方面的薄弱点和弱项，制定相应的改进和创新计划和目标。</w:t>
            </w:r>
          </w:p>
        </w:tc>
      </w:tr>
      <w:tr w14:paraId="23EE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01A022A9">
            <w:pPr>
              <w:adjustRightInd w:val="0"/>
              <w:snapToGrid w:val="0"/>
              <w:spacing w:line="300" w:lineRule="auto"/>
              <w:jc w:val="center"/>
              <w:rPr>
                <w:b/>
                <w:sz w:val="24"/>
              </w:rPr>
            </w:pPr>
          </w:p>
        </w:tc>
        <w:tc>
          <w:tcPr>
            <w:tcW w:w="1999" w:type="dxa"/>
            <w:vAlign w:val="center"/>
          </w:tcPr>
          <w:p w14:paraId="333F53DF">
            <w:pPr>
              <w:adjustRightInd w:val="0"/>
              <w:snapToGrid w:val="0"/>
              <w:spacing w:line="300" w:lineRule="auto"/>
              <w:jc w:val="center"/>
              <w:rPr>
                <w:sz w:val="24"/>
              </w:rPr>
            </w:pPr>
            <w:r>
              <w:rPr>
                <w:sz w:val="24"/>
              </w:rPr>
              <w:t>体系审核</w:t>
            </w:r>
          </w:p>
        </w:tc>
        <w:tc>
          <w:tcPr>
            <w:tcW w:w="6237" w:type="dxa"/>
            <w:vAlign w:val="center"/>
          </w:tcPr>
          <w:p w14:paraId="033837A9">
            <w:pPr>
              <w:adjustRightInd w:val="0"/>
              <w:snapToGrid w:val="0"/>
              <w:spacing w:line="300" w:lineRule="auto"/>
              <w:rPr>
                <w:sz w:val="24"/>
              </w:rPr>
            </w:pPr>
            <w:r>
              <w:rPr>
                <w:sz w:val="24"/>
              </w:rPr>
              <w:t>由负责体系审核人员通过内审和外审识别体系运行过程中识别改进和创新机会，制定改进和创新计划和目标。</w:t>
            </w:r>
          </w:p>
        </w:tc>
      </w:tr>
      <w:tr w14:paraId="6570D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660B5614">
            <w:pPr>
              <w:adjustRightInd w:val="0"/>
              <w:snapToGrid w:val="0"/>
              <w:spacing w:line="300" w:lineRule="auto"/>
              <w:jc w:val="center"/>
              <w:rPr>
                <w:b/>
                <w:sz w:val="24"/>
              </w:rPr>
            </w:pPr>
          </w:p>
        </w:tc>
        <w:tc>
          <w:tcPr>
            <w:tcW w:w="1999" w:type="dxa"/>
            <w:vAlign w:val="center"/>
          </w:tcPr>
          <w:p w14:paraId="0CC6A7D1">
            <w:pPr>
              <w:adjustRightInd w:val="0"/>
              <w:snapToGrid w:val="0"/>
              <w:spacing w:line="300" w:lineRule="auto"/>
              <w:jc w:val="center"/>
              <w:rPr>
                <w:sz w:val="24"/>
              </w:rPr>
            </w:pPr>
            <w:r>
              <w:rPr>
                <w:sz w:val="24"/>
              </w:rPr>
              <w:t>经营决策</w:t>
            </w:r>
          </w:p>
        </w:tc>
        <w:tc>
          <w:tcPr>
            <w:tcW w:w="6237" w:type="dxa"/>
            <w:vAlign w:val="center"/>
          </w:tcPr>
          <w:p w14:paraId="0EE94D46">
            <w:pPr>
              <w:adjustRightInd w:val="0"/>
              <w:snapToGrid w:val="0"/>
              <w:spacing w:line="300" w:lineRule="auto"/>
              <w:rPr>
                <w:sz w:val="24"/>
              </w:rPr>
            </w:pPr>
            <w:r>
              <w:rPr>
                <w:sz w:val="24"/>
              </w:rPr>
              <w:t>定期召开公司级经营会议，根据关键绩效指标的计划与实施对比情况，由公司经营层研究并确定主要改进方向和课题，层层制定改进和创新计划和目标。</w:t>
            </w:r>
          </w:p>
        </w:tc>
      </w:tr>
      <w:tr w14:paraId="29C0C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restart"/>
            <w:vAlign w:val="center"/>
          </w:tcPr>
          <w:p w14:paraId="3DEB700C">
            <w:pPr>
              <w:adjustRightInd w:val="0"/>
              <w:snapToGrid w:val="0"/>
              <w:spacing w:line="300" w:lineRule="auto"/>
              <w:jc w:val="center"/>
              <w:rPr>
                <w:b/>
                <w:sz w:val="24"/>
              </w:rPr>
            </w:pPr>
            <w:r>
              <w:rPr>
                <w:b/>
                <w:sz w:val="24"/>
              </w:rPr>
              <w:t>员工</w:t>
            </w:r>
          </w:p>
        </w:tc>
        <w:tc>
          <w:tcPr>
            <w:tcW w:w="1999" w:type="dxa"/>
            <w:vAlign w:val="center"/>
          </w:tcPr>
          <w:p w14:paraId="35BC38AD">
            <w:pPr>
              <w:adjustRightInd w:val="0"/>
              <w:snapToGrid w:val="0"/>
              <w:spacing w:line="300" w:lineRule="auto"/>
              <w:jc w:val="center"/>
              <w:rPr>
                <w:sz w:val="24"/>
              </w:rPr>
            </w:pPr>
            <w:r>
              <w:rPr>
                <w:sz w:val="24"/>
              </w:rPr>
              <w:t>员工满意度调查</w:t>
            </w:r>
          </w:p>
        </w:tc>
        <w:tc>
          <w:tcPr>
            <w:tcW w:w="6237" w:type="dxa"/>
            <w:vAlign w:val="center"/>
          </w:tcPr>
          <w:p w14:paraId="215AD5A0">
            <w:pPr>
              <w:adjustRightInd w:val="0"/>
              <w:snapToGrid w:val="0"/>
              <w:spacing w:line="300" w:lineRule="auto"/>
              <w:rPr>
                <w:sz w:val="24"/>
              </w:rPr>
            </w:pPr>
            <w:r>
              <w:rPr>
                <w:sz w:val="24"/>
              </w:rPr>
              <w:t>对员工满意度调查结果进行分析总结，识别出员工不满意项，制定相对应的改进和创新计划和目标。</w:t>
            </w:r>
          </w:p>
        </w:tc>
      </w:tr>
      <w:tr w14:paraId="6842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6611E529">
            <w:pPr>
              <w:adjustRightInd w:val="0"/>
              <w:snapToGrid w:val="0"/>
              <w:spacing w:line="300" w:lineRule="auto"/>
              <w:jc w:val="center"/>
              <w:rPr>
                <w:b/>
                <w:sz w:val="24"/>
              </w:rPr>
            </w:pPr>
          </w:p>
        </w:tc>
        <w:tc>
          <w:tcPr>
            <w:tcW w:w="1999" w:type="dxa"/>
            <w:vAlign w:val="center"/>
          </w:tcPr>
          <w:p w14:paraId="1FCDEFF1">
            <w:pPr>
              <w:adjustRightInd w:val="0"/>
              <w:snapToGrid w:val="0"/>
              <w:spacing w:line="300" w:lineRule="auto"/>
              <w:jc w:val="center"/>
              <w:rPr>
                <w:sz w:val="24"/>
              </w:rPr>
            </w:pPr>
            <w:r>
              <w:rPr>
                <w:sz w:val="24"/>
              </w:rPr>
              <w:t>员工座谈会</w:t>
            </w:r>
          </w:p>
        </w:tc>
        <w:tc>
          <w:tcPr>
            <w:tcW w:w="6237" w:type="dxa"/>
            <w:vAlign w:val="center"/>
          </w:tcPr>
          <w:p w14:paraId="2013E9FA">
            <w:pPr>
              <w:adjustRightInd w:val="0"/>
              <w:snapToGrid w:val="0"/>
              <w:spacing w:line="300" w:lineRule="auto"/>
              <w:rPr>
                <w:sz w:val="24"/>
              </w:rPr>
            </w:pPr>
            <w:r>
              <w:rPr>
                <w:sz w:val="24"/>
              </w:rPr>
              <w:t>定期开展全体员工座谈会，鼓励所有员工各抒己见，且由各职能部门人员针对员工现场提出的问题整编改进和创新计划和目标。</w:t>
            </w:r>
          </w:p>
        </w:tc>
      </w:tr>
      <w:tr w14:paraId="5A90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restart"/>
            <w:vAlign w:val="center"/>
          </w:tcPr>
          <w:p w14:paraId="48A5C1B0">
            <w:pPr>
              <w:adjustRightInd w:val="0"/>
              <w:snapToGrid w:val="0"/>
              <w:spacing w:line="300" w:lineRule="auto"/>
              <w:jc w:val="center"/>
              <w:rPr>
                <w:b/>
                <w:sz w:val="24"/>
              </w:rPr>
            </w:pPr>
            <w:r>
              <w:rPr>
                <w:b/>
                <w:sz w:val="24"/>
              </w:rPr>
              <w:t>顾客</w:t>
            </w:r>
          </w:p>
        </w:tc>
        <w:tc>
          <w:tcPr>
            <w:tcW w:w="1999" w:type="dxa"/>
            <w:vAlign w:val="center"/>
          </w:tcPr>
          <w:p w14:paraId="21566E2C">
            <w:pPr>
              <w:adjustRightInd w:val="0"/>
              <w:snapToGrid w:val="0"/>
              <w:spacing w:line="300" w:lineRule="auto"/>
              <w:jc w:val="center"/>
              <w:rPr>
                <w:sz w:val="24"/>
              </w:rPr>
            </w:pPr>
            <w:r>
              <w:rPr>
                <w:sz w:val="24"/>
              </w:rPr>
              <w:t>顾客满意度调查</w:t>
            </w:r>
          </w:p>
        </w:tc>
        <w:tc>
          <w:tcPr>
            <w:tcW w:w="6237" w:type="dxa"/>
            <w:vAlign w:val="center"/>
          </w:tcPr>
          <w:p w14:paraId="776004F0">
            <w:pPr>
              <w:adjustRightInd w:val="0"/>
              <w:snapToGrid w:val="0"/>
              <w:spacing w:line="300" w:lineRule="auto"/>
              <w:rPr>
                <w:sz w:val="24"/>
              </w:rPr>
            </w:pPr>
            <w:r>
              <w:rPr>
                <w:sz w:val="24"/>
              </w:rPr>
              <w:t>除公司内部开展满意度调查外，还聘请第三方专业机构进行调查，形成调查报告，根据调查分析结果，制定改进和创新计划和目标。</w:t>
            </w:r>
          </w:p>
        </w:tc>
      </w:tr>
      <w:tr w14:paraId="4B8F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2488B1D3">
            <w:pPr>
              <w:adjustRightInd w:val="0"/>
              <w:snapToGrid w:val="0"/>
              <w:spacing w:line="300" w:lineRule="auto"/>
              <w:jc w:val="center"/>
              <w:rPr>
                <w:sz w:val="24"/>
              </w:rPr>
            </w:pPr>
          </w:p>
        </w:tc>
        <w:tc>
          <w:tcPr>
            <w:tcW w:w="1999" w:type="dxa"/>
            <w:vAlign w:val="center"/>
          </w:tcPr>
          <w:p w14:paraId="066915CB">
            <w:pPr>
              <w:adjustRightInd w:val="0"/>
              <w:snapToGrid w:val="0"/>
              <w:spacing w:line="300" w:lineRule="auto"/>
              <w:jc w:val="center"/>
              <w:rPr>
                <w:sz w:val="24"/>
              </w:rPr>
            </w:pPr>
            <w:r>
              <w:rPr>
                <w:sz w:val="24"/>
              </w:rPr>
              <w:t>重点拜访</w:t>
            </w:r>
          </w:p>
        </w:tc>
        <w:tc>
          <w:tcPr>
            <w:tcW w:w="6237" w:type="dxa"/>
            <w:vAlign w:val="center"/>
          </w:tcPr>
          <w:p w14:paraId="560890AB">
            <w:pPr>
              <w:adjustRightInd w:val="0"/>
              <w:snapToGrid w:val="0"/>
              <w:spacing w:line="300" w:lineRule="auto"/>
              <w:rPr>
                <w:sz w:val="24"/>
              </w:rPr>
            </w:pPr>
            <w:r>
              <w:rPr>
                <w:sz w:val="24"/>
              </w:rPr>
              <w:t>公司总经理与业务部经理每年对大客户及重点渠道顾客上门拜访，根据面对面的交流反馈结果，制定更高层次的改进和创新计划和目标。</w:t>
            </w:r>
          </w:p>
        </w:tc>
      </w:tr>
      <w:tr w14:paraId="1F1F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3" w:type="dxa"/>
            <w:vMerge w:val="continue"/>
            <w:vAlign w:val="center"/>
          </w:tcPr>
          <w:p w14:paraId="2F55122C">
            <w:pPr>
              <w:adjustRightInd w:val="0"/>
              <w:snapToGrid w:val="0"/>
              <w:spacing w:line="300" w:lineRule="auto"/>
              <w:jc w:val="center"/>
              <w:rPr>
                <w:sz w:val="24"/>
              </w:rPr>
            </w:pPr>
          </w:p>
        </w:tc>
        <w:tc>
          <w:tcPr>
            <w:tcW w:w="1999" w:type="dxa"/>
            <w:vAlign w:val="center"/>
          </w:tcPr>
          <w:p w14:paraId="29B6B792">
            <w:pPr>
              <w:adjustRightInd w:val="0"/>
              <w:snapToGrid w:val="0"/>
              <w:spacing w:line="300" w:lineRule="auto"/>
              <w:jc w:val="center"/>
              <w:rPr>
                <w:sz w:val="24"/>
              </w:rPr>
            </w:pPr>
            <w:r>
              <w:rPr>
                <w:sz w:val="24"/>
              </w:rPr>
              <w:t>顾客投诉</w:t>
            </w:r>
          </w:p>
        </w:tc>
        <w:tc>
          <w:tcPr>
            <w:tcW w:w="6237" w:type="dxa"/>
            <w:vAlign w:val="center"/>
          </w:tcPr>
          <w:p w14:paraId="6086BB98">
            <w:pPr>
              <w:adjustRightInd w:val="0"/>
              <w:snapToGrid w:val="0"/>
              <w:spacing w:line="300" w:lineRule="auto"/>
              <w:rPr>
                <w:sz w:val="24"/>
              </w:rPr>
            </w:pPr>
            <w:r>
              <w:rPr>
                <w:sz w:val="24"/>
              </w:rPr>
              <w:t>对通过经销商、业务经理等途径收集到的顾客投诉信息进行整理和分析，有针对性地制定改进和创新计划和目标。</w:t>
            </w:r>
          </w:p>
        </w:tc>
      </w:tr>
    </w:tbl>
    <w:p w14:paraId="100F9D77">
      <w:pPr>
        <w:pStyle w:val="30"/>
        <w:adjustRightInd w:val="0"/>
        <w:snapToGrid w:val="0"/>
        <w:spacing w:line="300" w:lineRule="auto"/>
        <w:outlineLvl w:val="9"/>
        <w:rPr>
          <w:rFonts w:ascii="方正楷体简体" w:eastAsia="方正楷体简体"/>
          <w:sz w:val="28"/>
          <w:szCs w:val="28"/>
        </w:rPr>
        <w:sectPr>
          <w:pgSz w:w="11906" w:h="16838"/>
          <w:pgMar w:top="1985" w:right="1361" w:bottom="1361" w:left="1588" w:header="851" w:footer="1417" w:gutter="0"/>
          <w:pgNumType w:fmt="numberInDash"/>
          <w:cols w:space="425" w:num="1"/>
          <w:docGrid w:type="lines" w:linePitch="312" w:charSpace="0"/>
        </w:sectPr>
      </w:pPr>
      <w:bookmarkStart w:id="95" w:name="_Toc498627599"/>
      <w:bookmarkStart w:id="96" w:name="_Toc408837549"/>
    </w:p>
    <w:p w14:paraId="769E6B8E">
      <w:pPr>
        <w:pStyle w:val="30"/>
        <w:adjustRightInd w:val="0"/>
        <w:snapToGrid w:val="0"/>
        <w:spacing w:line="300" w:lineRule="auto"/>
        <w:rPr>
          <w:rFonts w:ascii="方正楷体简体" w:eastAsia="方正楷体简体"/>
          <w:sz w:val="28"/>
          <w:szCs w:val="28"/>
        </w:rPr>
      </w:pPr>
      <w:bookmarkStart w:id="97" w:name="_Toc15111"/>
      <w:r>
        <w:rPr>
          <w:rFonts w:hint="eastAsia" w:ascii="方正楷体简体" w:eastAsia="方正楷体简体"/>
          <w:sz w:val="28"/>
          <w:szCs w:val="28"/>
        </w:rPr>
        <w:t>2.5 产品质量责任</w:t>
      </w:r>
      <w:bookmarkEnd w:id="95"/>
      <w:bookmarkEnd w:id="96"/>
      <w:bookmarkEnd w:id="97"/>
    </w:p>
    <w:p w14:paraId="0C5334BE">
      <w:pPr>
        <w:adjustRightInd w:val="0"/>
        <w:snapToGrid w:val="0"/>
        <w:spacing w:line="300" w:lineRule="auto"/>
        <w:outlineLvl w:val="3"/>
        <w:rPr>
          <w:rFonts w:ascii="方正仿宋简体" w:eastAsia="方正仿宋简体"/>
          <w:b/>
          <w:sz w:val="28"/>
          <w:szCs w:val="28"/>
        </w:rPr>
      </w:pPr>
      <w:r>
        <w:rPr>
          <w:rFonts w:hint="eastAsia" w:ascii="方正仿宋简体" w:eastAsia="方正仿宋简体"/>
          <w:b/>
          <w:sz w:val="28"/>
          <w:szCs w:val="28"/>
        </w:rPr>
        <w:t>2.5.1 产品质量承诺</w:t>
      </w:r>
    </w:p>
    <w:p w14:paraId="12BFDCA3">
      <w:pPr>
        <w:adjustRightInd w:val="0"/>
        <w:snapToGrid w:val="0"/>
        <w:spacing w:line="300" w:lineRule="auto"/>
        <w:rPr>
          <w:rFonts w:ascii="方正仿宋简体" w:eastAsia="方正仿宋简体"/>
          <w:bCs/>
          <w:sz w:val="24"/>
        </w:rPr>
      </w:pPr>
      <w:r>
        <w:rPr>
          <w:rFonts w:hint="eastAsia" w:ascii="方正仿宋简体" w:eastAsia="方正仿宋简体"/>
          <w:bCs/>
          <w:sz w:val="24"/>
        </w:rPr>
        <w:t>1、本企业严格遵守《中华人民共和国产品质量法》等相关法律、法规，依法诚信经营。</w:t>
      </w:r>
    </w:p>
    <w:p w14:paraId="2CBE5357">
      <w:pPr>
        <w:adjustRightInd w:val="0"/>
        <w:snapToGrid w:val="0"/>
        <w:spacing w:line="300" w:lineRule="auto"/>
        <w:rPr>
          <w:rFonts w:ascii="方正仿宋简体" w:eastAsia="方正仿宋简体"/>
          <w:bCs/>
          <w:sz w:val="24"/>
        </w:rPr>
      </w:pPr>
      <w:r>
        <w:rPr>
          <w:rFonts w:hint="eastAsia" w:ascii="方正仿宋简体" w:eastAsia="方正仿宋简体"/>
          <w:bCs/>
          <w:sz w:val="24"/>
        </w:rPr>
        <w:t>2、本企业依法管理和生产，落实质量主体责任；建立健全各项管理制度，运用质量管理体系，持续保证产品质量稳定性，并持续改进产品质量。</w:t>
      </w:r>
    </w:p>
    <w:p w14:paraId="3C06D42F">
      <w:pPr>
        <w:adjustRightInd w:val="0"/>
        <w:snapToGrid w:val="0"/>
        <w:spacing w:line="300" w:lineRule="auto"/>
        <w:rPr>
          <w:rFonts w:ascii="方正仿宋简体" w:eastAsia="方正仿宋简体"/>
          <w:bCs/>
          <w:sz w:val="24"/>
        </w:rPr>
      </w:pPr>
      <w:r>
        <w:rPr>
          <w:rFonts w:hint="eastAsia" w:ascii="方正仿宋简体" w:eastAsia="方正仿宋简体"/>
          <w:bCs/>
          <w:sz w:val="24"/>
        </w:rPr>
        <w:t>3、本企业保持资质的有效性，通过认证的产品，保证关键零部件一致性，并在有效期内。</w:t>
      </w:r>
    </w:p>
    <w:p w14:paraId="3D20B11A">
      <w:pPr>
        <w:adjustRightInd w:val="0"/>
        <w:snapToGrid w:val="0"/>
        <w:spacing w:line="300" w:lineRule="auto"/>
        <w:rPr>
          <w:rFonts w:ascii="方正仿宋简体" w:eastAsia="方正仿宋简体"/>
          <w:bCs/>
          <w:sz w:val="24"/>
        </w:rPr>
      </w:pPr>
      <w:r>
        <w:rPr>
          <w:rFonts w:hint="eastAsia" w:ascii="方正仿宋简体" w:eastAsia="方正仿宋简体"/>
          <w:bCs/>
          <w:sz w:val="24"/>
        </w:rPr>
        <w:t>4、本企业严格执行原辅材料检验制度，所用的原辅材料及包装材料符合相应的国家标准、行业标准及有关特殊规定。</w:t>
      </w:r>
    </w:p>
    <w:p w14:paraId="33439FE7">
      <w:pPr>
        <w:adjustRightInd w:val="0"/>
        <w:snapToGrid w:val="0"/>
        <w:spacing w:line="300" w:lineRule="auto"/>
        <w:rPr>
          <w:rFonts w:ascii="方正仿宋简体" w:eastAsia="方正仿宋简体"/>
          <w:bCs/>
          <w:sz w:val="24"/>
        </w:rPr>
      </w:pPr>
      <w:r>
        <w:rPr>
          <w:rFonts w:hint="eastAsia" w:ascii="方正仿宋简体" w:eastAsia="方正仿宋简体"/>
          <w:bCs/>
          <w:sz w:val="24"/>
        </w:rPr>
        <w:t>5、保证不生产加工假冒伪劣产品，不合格的产品保证不出厂。</w:t>
      </w:r>
    </w:p>
    <w:p w14:paraId="4898E034">
      <w:pPr>
        <w:adjustRightInd w:val="0"/>
        <w:snapToGrid w:val="0"/>
        <w:spacing w:line="300" w:lineRule="auto"/>
        <w:outlineLvl w:val="3"/>
        <w:rPr>
          <w:rFonts w:ascii="方正仿宋简体" w:eastAsia="方正仿宋简体"/>
          <w:b/>
          <w:sz w:val="28"/>
          <w:szCs w:val="28"/>
        </w:rPr>
      </w:pPr>
      <w:r>
        <w:rPr>
          <w:rFonts w:hint="eastAsia" w:ascii="方正仿宋简体" w:eastAsia="方正仿宋简体"/>
          <w:b/>
          <w:sz w:val="28"/>
          <w:szCs w:val="28"/>
        </w:rPr>
        <w:t>2.5.2 产品售后责任</w:t>
      </w:r>
    </w:p>
    <w:p w14:paraId="2F9C874F">
      <w:pPr>
        <w:adjustRightInd w:val="0"/>
        <w:snapToGrid w:val="0"/>
        <w:spacing w:line="300" w:lineRule="auto"/>
        <w:ind w:firstLine="480" w:firstLineChars="200"/>
        <w:jc w:val="left"/>
        <w:rPr>
          <w:rFonts w:ascii="方正仿宋简体" w:eastAsia="方正仿宋简体"/>
          <w:bCs/>
          <w:sz w:val="24"/>
        </w:rPr>
      </w:pPr>
      <w:r>
        <w:rPr>
          <w:rFonts w:ascii="方正仿宋简体" w:eastAsia="方正仿宋简体"/>
          <w:bCs/>
          <w:sz w:val="24"/>
        </w:rPr>
        <w:t>为提高顾客满意度和忠诚度，公司建立业务跟踪、顾客回访、走访制度，定期或不定期的对顾客进行回访与跟踪，了解顾客的意见、要求和建议，建立每一位顾客的信息记录体系，解决每一位顾客的投诉，做到让顾客满意、公司放心。并持续推进对主要客户的售后服务，制定了规范的产品手册，技术手册，努力缩短交货，建立技术服务机制。</w:t>
      </w:r>
    </w:p>
    <w:p w14:paraId="264AE516">
      <w:pPr>
        <w:adjustRightInd w:val="0"/>
        <w:snapToGrid w:val="0"/>
        <w:spacing w:line="300" w:lineRule="auto"/>
        <w:jc w:val="center"/>
        <w:rPr>
          <w:rFonts w:ascii="方正仿宋简体" w:eastAsia="方正仿宋简体"/>
          <w:bCs/>
          <w:sz w:val="24"/>
        </w:rPr>
      </w:pPr>
    </w:p>
    <w:p w14:paraId="19895665">
      <w:pPr>
        <w:adjustRightInd w:val="0"/>
        <w:snapToGrid w:val="0"/>
        <w:spacing w:line="300" w:lineRule="auto"/>
        <w:jc w:val="center"/>
        <w:rPr>
          <w:rFonts w:ascii="方正仿宋简体" w:eastAsia="方正仿宋简体"/>
          <w:bCs/>
          <w:sz w:val="24"/>
        </w:rPr>
      </w:pPr>
    </w:p>
    <w:p w14:paraId="7AFCA364">
      <w:pPr>
        <w:adjustRightInd w:val="0"/>
        <w:snapToGrid w:val="0"/>
        <w:spacing w:line="300" w:lineRule="auto"/>
        <w:jc w:val="center"/>
        <w:rPr>
          <w:rFonts w:ascii="方正仿宋简体" w:eastAsia="方正仿宋简体"/>
          <w:bCs/>
          <w:sz w:val="24"/>
        </w:rPr>
      </w:pPr>
    </w:p>
    <w:p w14:paraId="58A3F9D4">
      <w:pPr>
        <w:adjustRightInd w:val="0"/>
        <w:snapToGrid w:val="0"/>
        <w:spacing w:line="300" w:lineRule="auto"/>
        <w:jc w:val="center"/>
        <w:rPr>
          <w:rFonts w:ascii="方正仿宋简体" w:eastAsia="方正仿宋简体"/>
          <w:bCs/>
          <w:sz w:val="24"/>
        </w:rPr>
      </w:pPr>
    </w:p>
    <w:p w14:paraId="3AA94AF3">
      <w:pPr>
        <w:adjustRightInd w:val="0"/>
        <w:snapToGrid w:val="0"/>
        <w:spacing w:line="300" w:lineRule="auto"/>
        <w:jc w:val="center"/>
        <w:rPr>
          <w:rFonts w:ascii="方正仿宋简体" w:eastAsia="方正仿宋简体"/>
          <w:bCs/>
          <w:sz w:val="24"/>
        </w:rPr>
      </w:pPr>
    </w:p>
    <w:p w14:paraId="616E1581">
      <w:pPr>
        <w:adjustRightInd w:val="0"/>
        <w:snapToGrid w:val="0"/>
        <w:spacing w:line="300" w:lineRule="auto"/>
        <w:jc w:val="center"/>
        <w:rPr>
          <w:rFonts w:ascii="方正仿宋简体" w:eastAsia="方正仿宋简体"/>
          <w:bCs/>
          <w:sz w:val="24"/>
        </w:rPr>
      </w:pPr>
    </w:p>
    <w:p w14:paraId="3F0A1FC0">
      <w:pPr>
        <w:adjustRightInd w:val="0"/>
        <w:snapToGrid w:val="0"/>
        <w:spacing w:line="300" w:lineRule="auto"/>
        <w:jc w:val="center"/>
        <w:rPr>
          <w:rFonts w:ascii="方正仿宋简体" w:eastAsia="方正仿宋简体"/>
          <w:bCs/>
          <w:sz w:val="24"/>
        </w:rPr>
      </w:pPr>
    </w:p>
    <w:p w14:paraId="0B0EE0FA">
      <w:pPr>
        <w:adjustRightInd w:val="0"/>
        <w:snapToGrid w:val="0"/>
        <w:spacing w:line="300" w:lineRule="auto"/>
        <w:jc w:val="center"/>
        <w:rPr>
          <w:rFonts w:ascii="方正仿宋简体" w:eastAsia="方正仿宋简体"/>
          <w:bCs/>
          <w:sz w:val="24"/>
        </w:rPr>
      </w:pPr>
    </w:p>
    <w:p w14:paraId="3B4A25AB">
      <w:pPr>
        <w:adjustRightInd w:val="0"/>
        <w:snapToGrid w:val="0"/>
        <w:spacing w:line="300" w:lineRule="auto"/>
        <w:jc w:val="center"/>
        <w:rPr>
          <w:rFonts w:ascii="方正仿宋简体" w:eastAsia="方正仿宋简体"/>
          <w:bCs/>
          <w:sz w:val="24"/>
        </w:rPr>
      </w:pPr>
      <w:r>
        <w:rPr>
          <w:rFonts w:ascii="方正仿宋简体" w:eastAsia="方正仿宋简体"/>
          <w:bCs/>
          <w:sz w:val="24"/>
        </w:rPr>
        <w:t>顾客抱怨和投诉处理流程图</w:t>
      </w:r>
    </w:p>
    <w:tbl>
      <w:tblPr>
        <w:tblStyle w:val="2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33"/>
        <w:gridCol w:w="2031"/>
        <w:gridCol w:w="4309"/>
      </w:tblGrid>
      <w:tr w14:paraId="178C2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1544" w:type="pct"/>
            <w:tcBorders>
              <w:top w:val="single" w:color="auto" w:sz="12" w:space="0"/>
              <w:bottom w:val="single" w:color="auto" w:sz="6" w:space="0"/>
            </w:tcBorders>
            <w:shd w:val="clear" w:color="auto" w:fill="183883"/>
            <w:vAlign w:val="center"/>
          </w:tcPr>
          <w:p w14:paraId="73043787">
            <w:pPr>
              <w:adjustRightInd w:val="0"/>
              <w:snapToGrid w:val="0"/>
              <w:spacing w:line="300" w:lineRule="auto"/>
              <w:jc w:val="center"/>
              <w:rPr>
                <w:b/>
                <w:szCs w:val="21"/>
              </w:rPr>
            </w:pPr>
            <w:r>
              <w:rPr>
                <w:b/>
                <w:szCs w:val="21"/>
              </w:rPr>
              <w:t>过  程</w:t>
            </w:r>
          </w:p>
        </w:tc>
        <w:tc>
          <w:tcPr>
            <w:tcW w:w="1107" w:type="pct"/>
            <w:tcBorders>
              <w:top w:val="single" w:color="auto" w:sz="12" w:space="0"/>
              <w:bottom w:val="single" w:color="auto" w:sz="6" w:space="0"/>
            </w:tcBorders>
            <w:shd w:val="clear" w:color="auto" w:fill="183883"/>
            <w:vAlign w:val="center"/>
          </w:tcPr>
          <w:p w14:paraId="247C4064">
            <w:pPr>
              <w:adjustRightInd w:val="0"/>
              <w:snapToGrid w:val="0"/>
              <w:spacing w:line="300" w:lineRule="auto"/>
              <w:jc w:val="center"/>
              <w:rPr>
                <w:b/>
                <w:szCs w:val="21"/>
              </w:rPr>
            </w:pPr>
            <w:r>
              <w:rPr>
                <w:b/>
                <w:szCs w:val="21"/>
              </w:rPr>
              <w:t>文件/记录</w:t>
            </w:r>
          </w:p>
        </w:tc>
        <w:tc>
          <w:tcPr>
            <w:tcW w:w="2348" w:type="pct"/>
            <w:tcBorders>
              <w:top w:val="single" w:color="auto" w:sz="12" w:space="0"/>
              <w:bottom w:val="single" w:color="auto" w:sz="6" w:space="0"/>
            </w:tcBorders>
            <w:shd w:val="clear" w:color="auto" w:fill="183883"/>
            <w:vAlign w:val="center"/>
          </w:tcPr>
          <w:p w14:paraId="44387854">
            <w:pPr>
              <w:adjustRightInd w:val="0"/>
              <w:snapToGrid w:val="0"/>
              <w:spacing w:line="300" w:lineRule="auto"/>
              <w:jc w:val="center"/>
              <w:rPr>
                <w:b/>
                <w:szCs w:val="21"/>
              </w:rPr>
            </w:pPr>
            <w:r>
              <w:rPr>
                <w:b/>
                <w:szCs w:val="21"/>
              </w:rPr>
              <w:t>活  动</w:t>
            </w:r>
          </w:p>
        </w:tc>
      </w:tr>
      <w:tr w14:paraId="5E2731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78" w:hRule="atLeast"/>
          <w:jc w:val="center"/>
        </w:trPr>
        <w:tc>
          <w:tcPr>
            <w:tcW w:w="1544" w:type="pct"/>
            <w:tcBorders>
              <w:top w:val="single" w:color="auto" w:sz="6" w:space="0"/>
            </w:tcBorders>
          </w:tcPr>
          <w:p w14:paraId="0D63A077">
            <w:pPr>
              <w:adjustRightInd w:val="0"/>
              <w:snapToGrid w:val="0"/>
              <w:spacing w:line="300" w:lineRule="auto"/>
              <w:rPr>
                <w:szCs w:val="21"/>
              </w:rPr>
            </w:pPr>
            <w:r>
              <w:rPr>
                <w:szCs w:val="21"/>
              </w:rPr>
              <mc:AlternateContent>
                <mc:Choice Requires="wps">
                  <w:drawing>
                    <wp:anchor distT="0" distB="0" distL="114300" distR="114300" simplePos="0" relativeHeight="251680768" behindDoc="0" locked="0" layoutInCell="1" allowOverlap="1">
                      <wp:simplePos x="0" y="0"/>
                      <wp:positionH relativeFrom="column">
                        <wp:posOffset>16510</wp:posOffset>
                      </wp:positionH>
                      <wp:positionV relativeFrom="paragraph">
                        <wp:posOffset>2276475</wp:posOffset>
                      </wp:positionV>
                      <wp:extent cx="457200" cy="685800"/>
                      <wp:effectExtent l="0" t="0" r="0" b="0"/>
                      <wp:wrapNone/>
                      <wp:docPr id="372" name="文本框 372"/>
                      <wp:cNvGraphicFramePr/>
                      <a:graphic xmlns:a="http://schemas.openxmlformats.org/drawingml/2006/main">
                        <a:graphicData uri="http://schemas.microsoft.com/office/word/2010/wordprocessingShape">
                          <wps:wsp>
                            <wps:cNvSpPr txBox="1">
                              <a:spLocks noChangeArrowheads="1"/>
                            </wps:cNvSpPr>
                            <wps:spPr bwMode="auto">
                              <a:xfrm>
                                <a:off x="0" y="0"/>
                                <a:ext cx="301625" cy="792480"/>
                              </a:xfrm>
                              <a:prstGeom prst="rect">
                                <a:avLst/>
                              </a:prstGeom>
                              <a:noFill/>
                              <a:ln>
                                <a:noFill/>
                              </a:ln>
                              <a:effectLst/>
                            </wps:spPr>
                            <wps:txbx>
                              <w:txbxContent>
                                <w:p w14:paraId="3291D2EB">
                                  <w:r>
                                    <w:rPr>
                                      <w:rFonts w:hint="eastAsia"/>
                                    </w:rPr>
                                    <w:t>供方直发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pt;margin-top:179.25pt;height:54pt;width:36pt;z-index:251680768;mso-width-relative:page;mso-height-relative:page;" filled="f" stroked="f" coordsize="21600,21600" o:gfxdata="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6b41HWAAAA&#10;CAEAAA8AAAAAAAAAAQAgAAAAIgAAAGRycy9kb3ducmV2LnhtbFBLAQIUABQAAAAIAIdO4kC/JetW&#10;HwIAACYEAAAOAAAAAAAAAAEAIAAAACUBAABkcnMvZTJvRG9jLnhtbFBLBQYAAAAABgAGAFkBAAC2&#10;BQAAAAA=&#10;">
                      <v:fill on="f" focussize="0,0"/>
                      <v:stroke on="f"/>
                      <v:imagedata o:title=""/>
                      <o:lock v:ext="edit" aspectratio="f"/>
                      <v:textbox>
                        <w:txbxContent>
                          <w:p w14:paraId="3291D2EB">
                            <w:r>
                              <w:rPr>
                                <w:rFonts w:hint="eastAsia"/>
                              </w:rPr>
                              <w:t>供方直发</w:t>
                            </w:r>
                          </w:p>
                        </w:txbxContent>
                      </v:textbox>
                    </v:shape>
                  </w:pict>
                </mc:Fallback>
              </mc:AlternateContent>
            </w:r>
            <w:r>
              <w:rPr>
                <w:szCs w:val="21"/>
              </w:rPr>
              <mc:AlternateContent>
                <mc:Choice Requires="wps">
                  <w:drawing>
                    <wp:anchor distT="0" distB="0" distL="114300" distR="114300" simplePos="0" relativeHeight="251679744" behindDoc="0" locked="0" layoutInCell="1" allowOverlap="1">
                      <wp:simplePos x="0" y="0"/>
                      <wp:positionH relativeFrom="column">
                        <wp:posOffset>-36195</wp:posOffset>
                      </wp:positionH>
                      <wp:positionV relativeFrom="paragraph">
                        <wp:posOffset>4658360</wp:posOffset>
                      </wp:positionV>
                      <wp:extent cx="205105" cy="0"/>
                      <wp:effectExtent l="0" t="38100" r="4445" b="38100"/>
                      <wp:wrapNone/>
                      <wp:docPr id="374" name="直接连接符 374"/>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2.85pt;margin-top:366.8pt;height:0pt;width:16.15pt;z-index:251679744;mso-width-relative:page;mso-height-relative:page;" filled="f" stroked="t" coordsize="21600,21600" o:gfxdata="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&#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1tajZAAAACQEAAA8AAAAAAAAAAQAgAAAAIgAAAGRy&#10;cy9kb3ducmV2LnhtbFBLAQIUABQAAAAIAIdO4kBJnthDBAIAAOkDAAAOAAAAAAAAAAEAIAAAACgB&#10;AABkcnMvZTJvRG9jLnhtbFBLBQYAAAAABgAGAFkBAACe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62336" behindDoc="0" locked="0" layoutInCell="1" allowOverlap="1">
                      <wp:simplePos x="0" y="0"/>
                      <wp:positionH relativeFrom="column">
                        <wp:posOffset>-33655</wp:posOffset>
                      </wp:positionH>
                      <wp:positionV relativeFrom="paragraph">
                        <wp:posOffset>2068195</wp:posOffset>
                      </wp:positionV>
                      <wp:extent cx="241300" cy="0"/>
                      <wp:effectExtent l="0" t="0" r="0" b="0"/>
                      <wp:wrapNone/>
                      <wp:docPr id="373" name="直接连接符 373"/>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5pt;margin-top:162.85pt;height:0pt;width:19pt;z-index:251662336;mso-width-relative:page;mso-height-relative:page;" filled="f" stroked="t" coordsize="21600,21600" o:gfxdata="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Ce6F&#10;1QAAAAkBAAAPAAAAAAAAAAEAIAAAACIAAABkcnMvZG93bnJldi54bWxQSwECFAAUAAAACACHTuJA&#10;VbKu2OsBAAC7AwAADgAAAAAAAAABACAAAAAkAQAAZHJzL2Uyb0RvYy54bWxQSwUGAAAAAAYABgBZ&#10;AQAAgQUAAAAA&#10;">
                      <v:fill on="f" focussize="0,0"/>
                      <v:stroke color="#000000" joinstyle="round"/>
                      <v:imagedata o:title=""/>
                      <o:lock v:ext="edit" aspectratio="f"/>
                    </v:line>
                  </w:pict>
                </mc:Fallback>
              </mc:AlternateContent>
            </w:r>
            <w:r>
              <w:rPr>
                <w:szCs w:val="21"/>
              </w:rPr>
              <mc:AlternateContent>
                <mc:Choice Requires="wps">
                  <w:drawing>
                    <wp:anchor distT="0" distB="0" distL="114300" distR="114300" simplePos="0" relativeHeight="251678720" behindDoc="0" locked="0" layoutInCell="1" allowOverlap="1">
                      <wp:simplePos x="0" y="0"/>
                      <wp:positionH relativeFrom="column">
                        <wp:posOffset>-33655</wp:posOffset>
                      </wp:positionH>
                      <wp:positionV relativeFrom="paragraph">
                        <wp:posOffset>2066290</wp:posOffset>
                      </wp:positionV>
                      <wp:extent cx="0" cy="2592070"/>
                      <wp:effectExtent l="4445" t="0" r="14605" b="17780"/>
                      <wp:wrapNone/>
                      <wp:docPr id="371" name="直接连接符 371"/>
                      <wp:cNvGraphicFramePr/>
                      <a:graphic xmlns:a="http://schemas.openxmlformats.org/drawingml/2006/main">
                        <a:graphicData uri="http://schemas.microsoft.com/office/word/2010/wordprocessingShape">
                          <wps:wsp>
                            <wps:cNvCnPr>
                              <a:cxnSpLocks noChangeShapeType="1"/>
                            </wps:cNvCnPr>
                            <wps:spPr bwMode="auto">
                              <a:xfrm>
                                <a:off x="0" y="0"/>
                                <a:ext cx="0" cy="259207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2.65pt;margin-top:162.7pt;height:204.1pt;width:0pt;z-index:251678720;mso-width-relative:page;mso-height-relative:page;" filled="f" stroked="t" coordsize="21600,21600" o:gfxdata="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6t1E1wAAAAkBAAAPAAAAAAAAAAEAIAAAACIAAABkcnMvZG93bnJldi54bWxQSwECFAAUAAAACACH&#10;TuJAG8suL+wBAAC8AwAADgAAAAAAAAABACAAAAAmAQAAZHJzL2Uyb0RvYy54bWxQSwUGAAAAAAYA&#10;BgBZAQAAhAUAAAAA&#10;">
                      <v:fill on="f" focussize="0,0"/>
                      <v:stroke color="#000000" joinstyle="round"/>
                      <v:imagedata o:title=""/>
                      <o:lock v:ext="edit" aspectratio="f"/>
                    </v:line>
                  </w:pict>
                </mc:Fallback>
              </mc:AlternateContent>
            </w:r>
            <w:r>
              <w:rPr>
                <w:szCs w:val="21"/>
              </w:rPr>
              <mc:AlternateContent>
                <mc:Choice Requires="wps">
                  <w:drawing>
                    <wp:anchor distT="0" distB="0" distL="114300" distR="114300" simplePos="0" relativeHeight="251661312" behindDoc="0" locked="0" layoutInCell="1" allowOverlap="1">
                      <wp:simplePos x="0" y="0"/>
                      <wp:positionH relativeFrom="column">
                        <wp:posOffset>744220</wp:posOffset>
                      </wp:positionH>
                      <wp:positionV relativeFrom="paragraph">
                        <wp:posOffset>4616450</wp:posOffset>
                      </wp:positionV>
                      <wp:extent cx="0" cy="396240"/>
                      <wp:effectExtent l="38100" t="0" r="38100" b="3810"/>
                      <wp:wrapNone/>
                      <wp:docPr id="368" name="直接连接符 368"/>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58.6pt;margin-top:363.5pt;height:31.2pt;width:0pt;z-index:251661312;mso-width-relative:page;mso-height-relative:page;" filled="f" stroked="t" coordsize="21600,21600" o:gfxdata="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jFKx2QAAAAsBAAAPAAAAAAAAAAEAIAAAACIAAABk&#10;cnMvZG93bnJldi54bWxQSwECFAAUAAAACACHTuJATFc54QUCAADpAwAADgAAAAAAAAABACAAAAAo&#10;AQAAZHJzL2Uyb0RvYy54bWxQSwUGAAAAAAYABgBZAQAAnw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77696" behindDoc="0" locked="0" layoutInCell="1" allowOverlap="1">
                      <wp:simplePos x="0" y="0"/>
                      <wp:positionH relativeFrom="column">
                        <wp:posOffset>725170</wp:posOffset>
                      </wp:positionH>
                      <wp:positionV relativeFrom="paragraph">
                        <wp:posOffset>4075430</wp:posOffset>
                      </wp:positionV>
                      <wp:extent cx="0" cy="396240"/>
                      <wp:effectExtent l="38100" t="0" r="38100" b="3810"/>
                      <wp:wrapNone/>
                      <wp:docPr id="367" name="直接连接符 367"/>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57.1pt;margin-top:320.9pt;height:31.2pt;width:0pt;z-index:251677696;mso-width-relative:page;mso-height-relative:page;" filled="f" stroked="t" coordsize="21600,21600" o:gfxdata="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&#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ts12QAAAAsBAAAPAAAAAAAAAAEAIAAAACIAAABk&#10;cnMvZG93bnJldi54bWxQSwECFAAUAAAACACHTuJAujTrUQUCAADpAwAADgAAAAAAAAABACAAAAAo&#10;AQAAZHJzL2Uyb0RvYy54bWxQSwUGAAAAAAYABgBZAQAAnw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64384" behindDoc="0" locked="0" layoutInCell="1" allowOverlap="1">
                      <wp:simplePos x="0" y="0"/>
                      <wp:positionH relativeFrom="column">
                        <wp:posOffset>715645</wp:posOffset>
                      </wp:positionH>
                      <wp:positionV relativeFrom="paragraph">
                        <wp:posOffset>3229610</wp:posOffset>
                      </wp:positionV>
                      <wp:extent cx="0" cy="539750"/>
                      <wp:effectExtent l="38100" t="0" r="38100" b="12700"/>
                      <wp:wrapNone/>
                      <wp:docPr id="366" name="直接连接符 366"/>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56.35pt;margin-top:254.3pt;height:42.5pt;width:0pt;z-index:251664384;mso-width-relative:page;mso-height-relative:page;" filled="f" stroked="t" coordsize="21600,21600" o:gfxdata="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&#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CTRFR2QAAAAsBAAAPAAAAAAAAAAEAIAAAACIAAABk&#10;cnMvZG93bnJldi54bWxQSwECFAAUAAAACACHTuJAxNXuYAUCAADpAwAADgAAAAAAAAABACAAAAAo&#10;AQAAZHJzL2Uyb0RvYy54bWxQSwUGAAAAAAYABgBZAQAAnw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76672" behindDoc="0" locked="0" layoutInCell="1" allowOverlap="1">
                      <wp:simplePos x="0" y="0"/>
                      <wp:positionH relativeFrom="column">
                        <wp:posOffset>715645</wp:posOffset>
                      </wp:positionH>
                      <wp:positionV relativeFrom="paragraph">
                        <wp:posOffset>2242820</wp:posOffset>
                      </wp:positionV>
                      <wp:extent cx="0" cy="720090"/>
                      <wp:effectExtent l="38100" t="0" r="38100" b="3810"/>
                      <wp:wrapNone/>
                      <wp:docPr id="365" name="直接连接符 365"/>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56.35pt;margin-top:176.6pt;height:56.7pt;width:0pt;z-index:251676672;mso-width-relative:page;mso-height-relative:page;" filled="f" stroked="t" coordsize="21600,21600" o:gfxdata="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&#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hmNlP2gAAAAsBAAAPAAAAAAAAAAEAIAAAACIAAABk&#10;cnMvZG93bnJldi54bWxQSwECFAAUAAAACACHTuJAkx3MxAQCAADpAwAADgAAAAAAAAABACAAAAAp&#10;AQAAZHJzL2Uyb0RvYy54bWxQSwUGAAAAAAYABgBZAQAAnwU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75648" behindDoc="0" locked="0" layoutInCell="1" allowOverlap="1">
                      <wp:simplePos x="0" y="0"/>
                      <wp:positionH relativeFrom="column">
                        <wp:posOffset>696595</wp:posOffset>
                      </wp:positionH>
                      <wp:positionV relativeFrom="paragraph">
                        <wp:posOffset>1557020</wp:posOffset>
                      </wp:positionV>
                      <wp:extent cx="0" cy="431800"/>
                      <wp:effectExtent l="38100" t="0" r="38100" b="6350"/>
                      <wp:wrapNone/>
                      <wp:docPr id="364" name="直接连接符 364"/>
                      <wp:cNvGraphicFramePr/>
                      <a:graphic xmlns:a="http://schemas.openxmlformats.org/drawingml/2006/main">
                        <a:graphicData uri="http://schemas.microsoft.com/office/word/2010/wordprocessingShape">
                          <wps:wsp>
                            <wps:cNvCnPr>
                              <a:cxnSpLocks noChangeShapeType="1"/>
                            </wps:cNvCnPr>
                            <wps:spPr bwMode="auto">
                              <a:xfrm>
                                <a:off x="0" y="0"/>
                                <a:ext cx="0" cy="431800"/>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54.85pt;margin-top:122.6pt;height:34pt;width:0pt;z-index:251675648;mso-width-relative:page;mso-height-relative:page;" filled="f" stroked="t" coordsize="21600,21600" o:gfxdata="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u4+8t9oAAAALAQAADwAAAAAAAAABACAAAAAiAAAA&#10;ZHJzL2Rvd25yZXYueG1sUEsBAhQAFAAAAAgAh07iQHksGfkFAgAA6QMAAA4AAAAAAAAAAQAgAAAA&#10;KQEAAGRycy9lMm9Eb2MueG1sUEsFBgAAAAAGAAYAWQEAAKA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74624" behindDoc="0" locked="0" layoutInCell="1" allowOverlap="1">
                      <wp:simplePos x="0" y="0"/>
                      <wp:positionH relativeFrom="column">
                        <wp:posOffset>699770</wp:posOffset>
                      </wp:positionH>
                      <wp:positionV relativeFrom="paragraph">
                        <wp:posOffset>880745</wp:posOffset>
                      </wp:positionV>
                      <wp:extent cx="0" cy="360045"/>
                      <wp:effectExtent l="38100" t="0" r="38100" b="1905"/>
                      <wp:wrapNone/>
                      <wp:docPr id="362" name="直接连接符 362"/>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55.1pt;margin-top:69.35pt;height:28.35pt;width:0pt;z-index:251674624;mso-width-relative:page;mso-height-relative:page;" filled="f" stroked="t" coordsize="21600,21600" o:gfxdata="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FPMNtkAAAALAQAADwAAAAAAAAABACAAAAAiAAAAZHJz&#10;L2Rvd25yZXYueG1sUEsBAhQAFAAAAAgAh07iQP11LXYDAgAA6QMAAA4AAAAAAAAAAQAgAAAAKAEA&#10;AGRycy9lMm9Eb2MueG1sUEsFBgAAAAAGAAYAWQEAAJ0FA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73600" behindDoc="0" locked="0" layoutInCell="1" allowOverlap="1">
                      <wp:simplePos x="0" y="0"/>
                      <wp:positionH relativeFrom="column">
                        <wp:posOffset>161925</wp:posOffset>
                      </wp:positionH>
                      <wp:positionV relativeFrom="paragraph">
                        <wp:posOffset>5025390</wp:posOffset>
                      </wp:positionV>
                      <wp:extent cx="1127125" cy="294640"/>
                      <wp:effectExtent l="5080" t="4445" r="10795" b="5715"/>
                      <wp:wrapNone/>
                      <wp:docPr id="360" name="文本框 360"/>
                      <wp:cNvGraphicFramePr/>
                      <a:graphic xmlns:a="http://schemas.openxmlformats.org/drawingml/2006/main">
                        <a:graphicData uri="http://schemas.microsoft.com/office/word/2010/wordprocessingShape">
                          <wps:wsp>
                            <wps:cNvSpPr txBox="1">
                              <a:spLocks noChangeArrowheads="1"/>
                            </wps:cNvSpPr>
                            <wps:spPr bwMode="auto">
                              <a:xfrm>
                                <a:off x="0" y="0"/>
                                <a:ext cx="1127125" cy="294640"/>
                              </a:xfrm>
                              <a:prstGeom prst="rect">
                                <a:avLst/>
                              </a:prstGeom>
                              <a:solidFill>
                                <a:srgbClr val="FFFFFF"/>
                              </a:solidFill>
                              <a:ln w="9525">
                                <a:solidFill>
                                  <a:srgbClr val="000000"/>
                                </a:solidFill>
                                <a:miter lim="800000"/>
                              </a:ln>
                              <a:effectLst/>
                            </wps:spPr>
                            <wps:txbx>
                              <w:txbxContent>
                                <w:p w14:paraId="25C53327">
                                  <w:pPr>
                                    <w:jc w:val="center"/>
                                  </w:pPr>
                                  <w:r>
                                    <w:rPr>
                                      <w:rFonts w:hint="eastAsia"/>
                                    </w:rPr>
                                    <w:t>通知客户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75pt;margin-top:395.7pt;height:23.2pt;width:88.75pt;z-index:251673600;mso-width-relative:page;mso-height-relative:page;" fillcolor="#FFFFFF" filled="t" stroked="t" coordsize="21600,21600" o:gfxdata="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TTHYtoAAAAKAQAADwAAAAAAAAAB&#10;ACAAAAAiAAAAZHJzL2Rvd25yZXYueG1sUEsBAhQAFAAAAAgAh07iQCp8Es1HAgAAmQQAAA4AAAAA&#10;AAAAAQAgAAAAKQEAAGRycy9lMm9Eb2MueG1sUEsFBgAAAAAGAAYAWQEAAOIFAAAAAA==&#10;">
                      <v:fill on="t" focussize="0,0"/>
                      <v:stroke color="#000000" miterlimit="8" joinstyle="miter"/>
                      <v:imagedata o:title=""/>
                      <o:lock v:ext="edit" aspectratio="f"/>
                      <v:textbox>
                        <w:txbxContent>
                          <w:p w14:paraId="25C53327">
                            <w:pPr>
                              <w:jc w:val="center"/>
                            </w:pPr>
                            <w:r>
                              <w:rPr>
                                <w:rFonts w:hint="eastAsia"/>
                              </w:rPr>
                              <w:t>通知客户</w:t>
                            </w:r>
                          </w:p>
                        </w:txbxContent>
                      </v:textbox>
                    </v:shape>
                  </w:pict>
                </mc:Fallback>
              </mc:AlternateContent>
            </w:r>
            <w:r>
              <w:rPr>
                <w:szCs w:val="21"/>
              </w:rPr>
              <mc:AlternateContent>
                <mc:Choice Requires="wps">
                  <w:drawing>
                    <wp:anchor distT="0" distB="0" distL="114300" distR="114300" simplePos="0" relativeHeight="251669504" behindDoc="0" locked="0" layoutInCell="1" allowOverlap="1">
                      <wp:simplePos x="0" y="0"/>
                      <wp:positionH relativeFrom="column">
                        <wp:posOffset>160020</wp:posOffset>
                      </wp:positionH>
                      <wp:positionV relativeFrom="paragraph">
                        <wp:posOffset>1974850</wp:posOffset>
                      </wp:positionV>
                      <wp:extent cx="1127125" cy="294640"/>
                      <wp:effectExtent l="5080" t="4445" r="10795" b="5715"/>
                      <wp:wrapNone/>
                      <wp:docPr id="370" name="文本框 370"/>
                      <wp:cNvGraphicFramePr/>
                      <a:graphic xmlns:a="http://schemas.openxmlformats.org/drawingml/2006/main">
                        <a:graphicData uri="http://schemas.microsoft.com/office/word/2010/wordprocessingShape">
                          <wps:wsp>
                            <wps:cNvSpPr txBox="1">
                              <a:spLocks noChangeArrowheads="1"/>
                            </wps:cNvSpPr>
                            <wps:spPr bwMode="auto">
                              <a:xfrm>
                                <a:off x="0" y="0"/>
                                <a:ext cx="1127125" cy="294640"/>
                              </a:xfrm>
                              <a:prstGeom prst="rect">
                                <a:avLst/>
                              </a:prstGeom>
                              <a:solidFill>
                                <a:srgbClr val="FFFFFF"/>
                              </a:solidFill>
                              <a:ln w="9525">
                                <a:solidFill>
                                  <a:srgbClr val="000000"/>
                                </a:solidFill>
                                <a:miter lim="800000"/>
                              </a:ln>
                              <a:effectLst/>
                            </wps:spPr>
                            <wps:txbx>
                              <w:txbxContent>
                                <w:p w14:paraId="34BE327B">
                                  <w:pPr>
                                    <w:jc w:val="center"/>
                                  </w:pPr>
                                  <w:r>
                                    <w:rPr>
                                      <w:rFonts w:hint="eastAsia"/>
                                    </w:rPr>
                                    <w:t>物料准备</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6pt;margin-top:155.5pt;height:23.2pt;width:88.75pt;z-index:251669504;mso-width-relative:page;mso-height-relative:page;" fillcolor="#FFFFFF" filled="t" stroked="t" coordsize="21600,21600" o:gfxdata="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IBgKQ2QAAAAoBAAAPAAAAAAAAAAEA&#10;IAAAACIAAABkcnMvZG93bnJldi54bWxQSwECFAAUAAAACACHTuJA+t8xREcCAACZBAAADgAAAAAA&#10;AAABACAAAAAoAQAAZHJzL2Uyb0RvYy54bWxQSwUGAAAAAAYABgBZAQAA4QUAAAAA&#10;">
                      <v:fill on="t" focussize="0,0"/>
                      <v:stroke color="#000000" miterlimit="8" joinstyle="miter"/>
                      <v:imagedata o:title=""/>
                      <o:lock v:ext="edit" aspectratio="f"/>
                      <v:textbox>
                        <w:txbxContent>
                          <w:p w14:paraId="34BE327B">
                            <w:pPr>
                              <w:jc w:val="center"/>
                            </w:pPr>
                            <w:r>
                              <w:rPr>
                                <w:rFonts w:hint="eastAsia"/>
                              </w:rPr>
                              <w:t>物料准备</w:t>
                            </w:r>
                          </w:p>
                        </w:txbxContent>
                      </v:textbox>
                    </v:shape>
                  </w:pict>
                </mc:Fallback>
              </mc:AlternateContent>
            </w:r>
            <w:r>
              <w:rPr>
                <w:szCs w:val="21"/>
              </w:rPr>
              <mc:AlternateContent>
                <mc:Choice Requires="wps">
                  <w:drawing>
                    <wp:anchor distT="0" distB="0" distL="114300" distR="114300" simplePos="0" relativeHeight="251672576" behindDoc="0" locked="0" layoutInCell="1" allowOverlap="1">
                      <wp:simplePos x="0" y="0"/>
                      <wp:positionH relativeFrom="column">
                        <wp:posOffset>150495</wp:posOffset>
                      </wp:positionH>
                      <wp:positionV relativeFrom="paragraph">
                        <wp:posOffset>4506595</wp:posOffset>
                      </wp:positionV>
                      <wp:extent cx="1127125" cy="294640"/>
                      <wp:effectExtent l="5080" t="4445" r="10795" b="5715"/>
                      <wp:wrapNone/>
                      <wp:docPr id="369" name="文本框 369"/>
                      <wp:cNvGraphicFramePr/>
                      <a:graphic xmlns:a="http://schemas.openxmlformats.org/drawingml/2006/main">
                        <a:graphicData uri="http://schemas.microsoft.com/office/word/2010/wordprocessingShape">
                          <wps:wsp>
                            <wps:cNvSpPr txBox="1">
                              <a:spLocks noChangeArrowheads="1"/>
                            </wps:cNvSpPr>
                            <wps:spPr bwMode="auto">
                              <a:xfrm>
                                <a:off x="0" y="0"/>
                                <a:ext cx="1127125" cy="294640"/>
                              </a:xfrm>
                              <a:prstGeom prst="rect">
                                <a:avLst/>
                              </a:prstGeom>
                              <a:solidFill>
                                <a:srgbClr val="FFFFFF"/>
                              </a:solidFill>
                              <a:ln w="9525">
                                <a:solidFill>
                                  <a:srgbClr val="000000"/>
                                </a:solidFill>
                                <a:miter lim="800000"/>
                              </a:ln>
                              <a:effectLst/>
                            </wps:spPr>
                            <wps:txbx>
                              <w:txbxContent>
                                <w:p w14:paraId="733E4726">
                                  <w:pPr>
                                    <w:jc w:val="center"/>
                                  </w:pPr>
                                  <w:r>
                                    <w:rPr>
                                      <w:rFonts w:hint="eastAsia"/>
                                    </w:rPr>
                                    <w:t>物料发货</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85pt;margin-top:354.85pt;height:23.2pt;width:88.75pt;z-index:251672576;mso-width-relative:page;mso-height-relative:page;" fillcolor="#FFFFFF" filled="t" stroked="t" coordsize="21600,21600" o:gfxdata="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D1SG39kAAAAKAQAADwAAAAAAAAAB&#10;ACAAAAAiAAAAZHJzL2Rvd25yZXYueG1sUEsBAhQAFAAAAAgAh07iQH/RH9RIAgAAmQQAAA4AAAAA&#10;AAAAAQAgAAAAKAEAAGRycy9lMm9Eb2MueG1sUEsFBgAAAAAGAAYAWQEAAOIFAAAAAA==&#10;">
                      <v:fill on="t" focussize="0,0"/>
                      <v:stroke color="#000000" miterlimit="8" joinstyle="miter"/>
                      <v:imagedata o:title=""/>
                      <o:lock v:ext="edit" aspectratio="f"/>
                      <v:textbox>
                        <w:txbxContent>
                          <w:p w14:paraId="733E4726">
                            <w:pPr>
                              <w:jc w:val="center"/>
                            </w:pPr>
                            <w:r>
                              <w:rPr>
                                <w:rFonts w:hint="eastAsia"/>
                              </w:rPr>
                              <w:t>物料发货</w:t>
                            </w:r>
                          </w:p>
                        </w:txbxContent>
                      </v:textbox>
                    </v:shape>
                  </w:pict>
                </mc:Fallback>
              </mc:AlternateContent>
            </w:r>
            <w:r>
              <w:rPr>
                <w:szCs w:val="21"/>
              </w:rPr>
              <mc:AlternateContent>
                <mc:Choice Requires="wps">
                  <w:drawing>
                    <wp:anchor distT="0" distB="0" distL="114300" distR="114300" simplePos="0" relativeHeight="251663360" behindDoc="0" locked="0" layoutInCell="1" allowOverlap="1">
                      <wp:simplePos x="0" y="0"/>
                      <wp:positionH relativeFrom="column">
                        <wp:posOffset>690245</wp:posOffset>
                      </wp:positionH>
                      <wp:positionV relativeFrom="paragraph">
                        <wp:posOffset>892810</wp:posOffset>
                      </wp:positionV>
                      <wp:extent cx="301625" cy="354330"/>
                      <wp:effectExtent l="0" t="0" r="0" b="0"/>
                      <wp:wrapNone/>
                      <wp:docPr id="363" name="文本框 363"/>
                      <wp:cNvGraphicFramePr/>
                      <a:graphic xmlns:a="http://schemas.openxmlformats.org/drawingml/2006/main">
                        <a:graphicData uri="http://schemas.microsoft.com/office/word/2010/wordprocessingShape">
                          <wps:wsp>
                            <wps:cNvSpPr txBox="1">
                              <a:spLocks noChangeArrowheads="1"/>
                            </wps:cNvSpPr>
                            <wps:spPr bwMode="auto">
                              <a:xfrm>
                                <a:off x="0" y="0"/>
                                <a:ext cx="301625" cy="354330"/>
                              </a:xfrm>
                              <a:prstGeom prst="rect">
                                <a:avLst/>
                              </a:prstGeom>
                              <a:noFill/>
                              <a:ln>
                                <a:noFill/>
                              </a:ln>
                              <a:effectLst/>
                            </wps:spPr>
                            <wps:txbx>
                              <w:txbxContent>
                                <w:p w14:paraId="09AB37B8">
                                  <w:r>
                                    <w:rPr>
                                      <w:rFonts w:hint="eastAsia"/>
                                    </w:rPr>
                                    <w:t>是</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4.35pt;margin-top:70.3pt;height:27.9pt;width:23.75pt;z-index:251663360;mso-width-relative:page;mso-height-relative:page;" filled="f" stroked="f" coordsize="21600,21600" o:gfxdata="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B3TorXAAAA&#10;CwEAAA8AAAAAAAAAAQAgAAAAIgAAAGRycy9kb3ducmV2LnhtbFBLAQIUABQAAAAIAIdO4kCDTIL/&#10;HgIAACYEAAAOAAAAAAAAAAEAIAAAACYBAABkcnMvZTJvRG9jLnhtbFBLBQYAAAAABgAGAFkBAAC2&#10;BQAAAAA=&#10;">
                      <v:fill on="f" focussize="0,0"/>
                      <v:stroke on="f"/>
                      <v:imagedata o:title=""/>
                      <o:lock v:ext="edit" aspectratio="f"/>
                      <v:textbox>
                        <w:txbxContent>
                          <w:p w14:paraId="09AB37B8">
                            <w:r>
                              <w:rPr>
                                <w:rFonts w:hint="eastAsia"/>
                              </w:rPr>
                              <w:t>是</w:t>
                            </w:r>
                          </w:p>
                        </w:txbxContent>
                      </v:textbox>
                    </v:shape>
                  </w:pict>
                </mc:Fallback>
              </mc:AlternateContent>
            </w:r>
            <w:r>
              <w:rPr>
                <w:szCs w:val="21"/>
              </w:rPr>
              <mc:AlternateContent>
                <mc:Choice Requires="wps">
                  <w:drawing>
                    <wp:anchor distT="0" distB="0" distL="114300" distR="114300" simplePos="0" relativeHeight="251671552" behindDoc="0" locked="0" layoutInCell="1" allowOverlap="1">
                      <wp:simplePos x="0" y="0"/>
                      <wp:positionH relativeFrom="column">
                        <wp:posOffset>156845</wp:posOffset>
                      </wp:positionH>
                      <wp:positionV relativeFrom="paragraph">
                        <wp:posOffset>3819525</wp:posOffset>
                      </wp:positionV>
                      <wp:extent cx="1127125" cy="294640"/>
                      <wp:effectExtent l="5080" t="4445" r="10795" b="5715"/>
                      <wp:wrapNone/>
                      <wp:docPr id="359" name="文本框 359"/>
                      <wp:cNvGraphicFramePr/>
                      <a:graphic xmlns:a="http://schemas.openxmlformats.org/drawingml/2006/main">
                        <a:graphicData uri="http://schemas.microsoft.com/office/word/2010/wordprocessingShape">
                          <wps:wsp>
                            <wps:cNvSpPr txBox="1">
                              <a:spLocks noChangeArrowheads="1"/>
                            </wps:cNvSpPr>
                            <wps:spPr bwMode="auto">
                              <a:xfrm>
                                <a:off x="0" y="0"/>
                                <a:ext cx="1127125" cy="294640"/>
                              </a:xfrm>
                              <a:prstGeom prst="rect">
                                <a:avLst/>
                              </a:prstGeom>
                              <a:solidFill>
                                <a:srgbClr val="FFFFFF"/>
                              </a:solidFill>
                              <a:ln w="9525">
                                <a:solidFill>
                                  <a:srgbClr val="000000"/>
                                </a:solidFill>
                                <a:miter lim="800000"/>
                              </a:ln>
                              <a:effectLst/>
                            </wps:spPr>
                            <wps:txbx>
                              <w:txbxContent>
                                <w:p w14:paraId="15E216EA">
                                  <w:pPr>
                                    <w:jc w:val="center"/>
                                  </w:pPr>
                                  <w:r>
                                    <w:rPr>
                                      <w:rFonts w:hint="eastAsia"/>
                                    </w:rPr>
                                    <w:t>发货通知</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5pt;margin-top:300.75pt;height:23.2pt;width:88.75pt;z-index:251671552;mso-width-relative:page;mso-height-relative:page;" fillcolor="#FFFFFF" filled="t" stroked="t" coordsize="21600,21600" o:gfxdata="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ogQmdkAAAAKAQAADwAAAAAAAAAB&#10;ACAAAAAiAAAAZHJzL2Rvd25yZXYueG1sUEsBAhQAFAAAAAgAh07iQE4zCpRIAgAAmQQAAA4AAAAA&#10;AAAAAQAgAAAAKAEAAGRycy9lMm9Eb2MueG1sUEsFBgAAAAAGAAYAWQEAAOIFAAAAAA==&#10;">
                      <v:fill on="t" focussize="0,0"/>
                      <v:stroke color="#000000" miterlimit="8" joinstyle="miter"/>
                      <v:imagedata o:title=""/>
                      <o:lock v:ext="edit" aspectratio="f"/>
                      <v:textbox>
                        <w:txbxContent>
                          <w:p w14:paraId="15E216EA">
                            <w:pPr>
                              <w:jc w:val="center"/>
                            </w:pPr>
                            <w:r>
                              <w:rPr>
                                <w:rFonts w:hint="eastAsia"/>
                              </w:rPr>
                              <w:t>发货通知</w:t>
                            </w:r>
                          </w:p>
                        </w:txbxContent>
                      </v:textbox>
                    </v:shape>
                  </w:pict>
                </mc:Fallback>
              </mc:AlternateContent>
            </w:r>
            <w:r>
              <w:rPr>
                <w:szCs w:val="21"/>
              </w:rPr>
              <mc:AlternateContent>
                <mc:Choice Requires="wps">
                  <w:drawing>
                    <wp:anchor distT="0" distB="0" distL="114300" distR="114300" simplePos="0" relativeHeight="251670528" behindDoc="0" locked="0" layoutInCell="1" allowOverlap="1">
                      <wp:simplePos x="0" y="0"/>
                      <wp:positionH relativeFrom="column">
                        <wp:posOffset>144145</wp:posOffset>
                      </wp:positionH>
                      <wp:positionV relativeFrom="paragraph">
                        <wp:posOffset>2990215</wp:posOffset>
                      </wp:positionV>
                      <wp:extent cx="1127125" cy="294640"/>
                      <wp:effectExtent l="5080" t="4445" r="10795" b="5715"/>
                      <wp:wrapNone/>
                      <wp:docPr id="358" name="文本框 358"/>
                      <wp:cNvGraphicFramePr/>
                      <a:graphic xmlns:a="http://schemas.openxmlformats.org/drawingml/2006/main">
                        <a:graphicData uri="http://schemas.microsoft.com/office/word/2010/wordprocessingShape">
                          <wps:wsp>
                            <wps:cNvSpPr txBox="1">
                              <a:spLocks noChangeArrowheads="1"/>
                            </wps:cNvSpPr>
                            <wps:spPr bwMode="auto">
                              <a:xfrm>
                                <a:off x="0" y="0"/>
                                <a:ext cx="1127125" cy="294640"/>
                              </a:xfrm>
                              <a:prstGeom prst="rect">
                                <a:avLst/>
                              </a:prstGeom>
                              <a:solidFill>
                                <a:srgbClr val="FFFFFF"/>
                              </a:solidFill>
                              <a:ln w="9525">
                                <a:solidFill>
                                  <a:srgbClr val="000000"/>
                                </a:solidFill>
                                <a:miter lim="800000"/>
                              </a:ln>
                              <a:effectLst/>
                            </wps:spPr>
                            <wps:txbx>
                              <w:txbxContent>
                                <w:p w14:paraId="5328DE70">
                                  <w:pPr>
                                    <w:jc w:val="center"/>
                                  </w:pPr>
                                  <w:r>
                                    <w:rPr>
                                      <w:rFonts w:hint="eastAsia"/>
                                    </w:rPr>
                                    <w:t>下单</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35pt;margin-top:235.45pt;height:23.2pt;width:88.75pt;z-index:251670528;mso-width-relative:page;mso-height-relative:page;" fillcolor="#FFFFFF" filled="t" stroked="t" coordsize="21600,21600" o:gfxdata="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eJn2y2QAAAAoBAAAPAAAAAAAAAAEA&#10;IAAAACIAAABkcnMvZG93bnJldi54bWxQSwECFAAUAAAACACHTuJA1wOCZEcCAACZBAAADgAAAAAA&#10;AAABACAAAAAoAQAAZHJzL2Uyb0RvYy54bWxQSwUGAAAAAAYABgBZAQAA4QUAAAAA&#10;">
                      <v:fill on="t" focussize="0,0"/>
                      <v:stroke color="#000000" miterlimit="8" joinstyle="miter"/>
                      <v:imagedata o:title=""/>
                      <o:lock v:ext="edit" aspectratio="f"/>
                      <v:textbox>
                        <w:txbxContent>
                          <w:p w14:paraId="5328DE70">
                            <w:pPr>
                              <w:jc w:val="center"/>
                            </w:pPr>
                            <w:r>
                              <w:rPr>
                                <w:rFonts w:hint="eastAsia"/>
                              </w:rPr>
                              <w:t>下单</w:t>
                            </w:r>
                          </w:p>
                        </w:txbxContent>
                      </v:textbox>
                    </v:shape>
                  </w:pict>
                </mc:Fallback>
              </mc:AlternateContent>
            </w:r>
            <w:r>
              <w:rPr>
                <w:szCs w:val="21"/>
              </w:rPr>
              <mc:AlternateContent>
                <mc:Choice Requires="wps">
                  <w:drawing>
                    <wp:anchor distT="0" distB="0" distL="114300" distR="114300" simplePos="0" relativeHeight="251668480" behindDoc="0" locked="0" layoutInCell="1" allowOverlap="1">
                      <wp:simplePos x="0" y="0"/>
                      <wp:positionH relativeFrom="column">
                        <wp:posOffset>156845</wp:posOffset>
                      </wp:positionH>
                      <wp:positionV relativeFrom="paragraph">
                        <wp:posOffset>1257300</wp:posOffset>
                      </wp:positionV>
                      <wp:extent cx="1127125" cy="294640"/>
                      <wp:effectExtent l="5080" t="4445" r="10795" b="5715"/>
                      <wp:wrapNone/>
                      <wp:docPr id="357" name="文本框 357"/>
                      <wp:cNvGraphicFramePr/>
                      <a:graphic xmlns:a="http://schemas.openxmlformats.org/drawingml/2006/main">
                        <a:graphicData uri="http://schemas.microsoft.com/office/word/2010/wordprocessingShape">
                          <wps:wsp>
                            <wps:cNvSpPr txBox="1">
                              <a:spLocks noChangeArrowheads="1"/>
                            </wps:cNvSpPr>
                            <wps:spPr bwMode="auto">
                              <a:xfrm>
                                <a:off x="0" y="0"/>
                                <a:ext cx="1127125" cy="294640"/>
                              </a:xfrm>
                              <a:prstGeom prst="rect">
                                <a:avLst/>
                              </a:prstGeom>
                              <a:solidFill>
                                <a:srgbClr val="FFFFFF"/>
                              </a:solidFill>
                              <a:ln w="9525">
                                <a:solidFill>
                                  <a:srgbClr val="000000"/>
                                </a:solidFill>
                                <a:miter lim="800000"/>
                              </a:ln>
                              <a:effectLst/>
                            </wps:spPr>
                            <wps:txbx>
                              <w:txbxContent>
                                <w:p w14:paraId="62FB4099">
                                  <w:pPr>
                                    <w:jc w:val="center"/>
                                  </w:pPr>
                                  <w:r>
                                    <w:rPr>
                                      <w:rFonts w:hint="eastAsia"/>
                                    </w:rPr>
                                    <w:t>物料确认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5pt;margin-top:99pt;height:23.2pt;width:88.75pt;z-index:251668480;mso-width-relative:page;mso-height-relative:page;" fillcolor="#FFFFFF" filled="t" stroked="t" coordsize="21600,21600" o:gfxdata="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LxYk2AAAAAoBAAAPAAAAAAAAAAEA&#10;IAAAACIAAABkcnMvZG93bnJldi54bWxQSwECFAAUAAAACACHTuJAFwcsM0gCAACZBAAADgAAAAAA&#10;AAABACAAAAAnAQAAZHJzL2Uyb0RvYy54bWxQSwUGAAAAAAYABgBZAQAA4QUAAAAA&#10;">
                      <v:fill on="t" focussize="0,0"/>
                      <v:stroke color="#000000" miterlimit="8" joinstyle="miter"/>
                      <v:imagedata o:title=""/>
                      <o:lock v:ext="edit" aspectratio="f"/>
                      <v:textbox>
                        <w:txbxContent>
                          <w:p w14:paraId="62FB4099">
                            <w:pPr>
                              <w:jc w:val="center"/>
                            </w:pPr>
                            <w:r>
                              <w:rPr>
                                <w:rFonts w:hint="eastAsia"/>
                              </w:rPr>
                              <w:t>物料确认</w:t>
                            </w:r>
                          </w:p>
                        </w:txbxContent>
                      </v:textbox>
                    </v:shape>
                  </w:pict>
                </mc:Fallback>
              </mc:AlternateContent>
            </w:r>
            <w:r>
              <w:rPr>
                <w:szCs w:val="21"/>
              </w:rPr>
              <mc:AlternateContent>
                <mc:Choice Requires="wps">
                  <w:drawing>
                    <wp:anchor distT="0" distB="0" distL="114300" distR="114300" simplePos="0" relativeHeight="251667456" behindDoc="0" locked="0" layoutInCell="1" allowOverlap="1">
                      <wp:simplePos x="0" y="0"/>
                      <wp:positionH relativeFrom="column">
                        <wp:posOffset>140970</wp:posOffset>
                      </wp:positionH>
                      <wp:positionV relativeFrom="paragraph">
                        <wp:posOffset>589915</wp:posOffset>
                      </wp:positionV>
                      <wp:extent cx="1127125" cy="294640"/>
                      <wp:effectExtent l="5080" t="4445" r="10795" b="5715"/>
                      <wp:wrapNone/>
                      <wp:docPr id="356" name="文本框 356"/>
                      <wp:cNvGraphicFramePr/>
                      <a:graphic xmlns:a="http://schemas.openxmlformats.org/drawingml/2006/main">
                        <a:graphicData uri="http://schemas.microsoft.com/office/word/2010/wordprocessingShape">
                          <wps:wsp>
                            <wps:cNvSpPr txBox="1">
                              <a:spLocks noChangeArrowheads="1"/>
                            </wps:cNvSpPr>
                            <wps:spPr bwMode="auto">
                              <a:xfrm>
                                <a:off x="0" y="0"/>
                                <a:ext cx="1127125" cy="294640"/>
                              </a:xfrm>
                              <a:prstGeom prst="rect">
                                <a:avLst/>
                              </a:prstGeom>
                              <a:solidFill>
                                <a:srgbClr val="FFFFFF"/>
                              </a:solidFill>
                              <a:ln w="9525">
                                <a:solidFill>
                                  <a:srgbClr val="000000"/>
                                </a:solidFill>
                                <a:miter lim="800000"/>
                              </a:ln>
                              <a:effectLst/>
                            </wps:spPr>
                            <wps:txbx>
                              <w:txbxContent>
                                <w:p w14:paraId="376FC62D">
                                  <w:pPr>
                                    <w:jc w:val="center"/>
                                  </w:pPr>
                                  <w:r>
                                    <w:rPr>
                                      <w:rFonts w:hint="eastAsia"/>
                                    </w:rPr>
                                    <w:t>物料初判</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1pt;margin-top:46.45pt;height:23.2pt;width:88.75pt;z-index:251667456;mso-width-relative:page;mso-height-relative:page;" fillcolor="#FFFFFF" filled="t" stroked="t" coordsize="21600,21600" o:gfxdata="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jYdV52AAAAAkBAAAPAAAAAAAAAAEA&#10;IAAAACIAAABkcnMvZG93bnJldi54bWxQSwECFAAUAAAACACHTuJAjjekw0gCAACZBAAADgAAAAAA&#10;AAABACAAAAAnAQAAZHJzL2Uyb0RvYy54bWxQSwUGAAAAAAYABgBZAQAA4QUAAAAA&#10;">
                      <v:fill on="t" focussize="0,0"/>
                      <v:stroke color="#000000" miterlimit="8" joinstyle="miter"/>
                      <v:imagedata o:title=""/>
                      <o:lock v:ext="edit" aspectratio="f"/>
                      <v:textbox>
                        <w:txbxContent>
                          <w:p w14:paraId="376FC62D">
                            <w:pPr>
                              <w:jc w:val="center"/>
                            </w:pPr>
                            <w:r>
                              <w:rPr>
                                <w:rFonts w:hint="eastAsia"/>
                              </w:rPr>
                              <w:t>物料初判</w:t>
                            </w:r>
                          </w:p>
                        </w:txbxContent>
                      </v:textbox>
                    </v:shape>
                  </w:pict>
                </mc:Fallback>
              </mc:AlternateContent>
            </w:r>
            <w:r>
              <w:rPr>
                <w:szCs w:val="21"/>
              </w:rPr>
              <mc:AlternateContent>
                <mc:Choice Requires="wps">
                  <w:drawing>
                    <wp:anchor distT="0" distB="0" distL="114300" distR="114300" simplePos="0" relativeHeight="251665408" behindDoc="0" locked="0" layoutInCell="1" allowOverlap="1">
                      <wp:simplePos x="0" y="0"/>
                      <wp:positionH relativeFrom="column">
                        <wp:posOffset>696595</wp:posOffset>
                      </wp:positionH>
                      <wp:positionV relativeFrom="paragraph">
                        <wp:posOffset>207010</wp:posOffset>
                      </wp:positionV>
                      <wp:extent cx="0" cy="360045"/>
                      <wp:effectExtent l="38100" t="0" r="38100" b="1905"/>
                      <wp:wrapNone/>
                      <wp:docPr id="361" name="直接连接符 361"/>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9525">
                                <a:solidFill>
                                  <a:srgbClr val="000000"/>
                                </a:solidFill>
                                <a:round/>
                                <a:tailEnd type="triangle" w="med" len="med"/>
                              </a:ln>
                              <a:effectLst/>
                            </wps:spPr>
                            <wps:bodyPr/>
                          </wps:wsp>
                        </a:graphicData>
                      </a:graphic>
                    </wp:anchor>
                  </w:drawing>
                </mc:Choice>
                <mc:Fallback>
                  <w:pict>
                    <v:line id="_x0000_s1026" o:spid="_x0000_s1026" o:spt="20" style="position:absolute;left:0pt;margin-left:54.85pt;margin-top:16.3pt;height:28.35pt;width:0pt;z-index:251665408;mso-width-relative:page;mso-height-relative:page;" filled="f" stroked="t" coordsize="21600,21600" o:gfxdata="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ZZDvHYAAAACQEAAA8AAAAAAAAAAQAgAAAAIgAAAGRycy9k&#10;b3ducmV2LnhtbFBLAQIUABQAAAAIAIdO4kAma/I+AgIAAOkDAAAOAAAAAAAAAAEAIAAAACcBAABk&#10;cnMvZTJvRG9jLnhtbFBLBQYAAAAABgAGAFkBAACbBQAAAAA=&#10;">
                      <v:fill on="f" focussize="0,0"/>
                      <v:stroke color="#000000" joinstyle="round" endarrow="block"/>
                      <v:imagedata o:title=""/>
                      <o:lock v:ext="edit" aspectratio="f"/>
                    </v:line>
                  </w:pict>
                </mc:Fallback>
              </mc:AlternateContent>
            </w:r>
            <w:r>
              <w:rPr>
                <w:szCs w:val="21"/>
              </w:rPr>
              <mc:AlternateContent>
                <mc:Choice Requires="wps">
                  <w:drawing>
                    <wp:anchor distT="0" distB="0" distL="114300" distR="114300" simplePos="0" relativeHeight="251666432" behindDoc="0" locked="0" layoutInCell="1" allowOverlap="1">
                      <wp:simplePos x="0" y="0"/>
                      <wp:positionH relativeFrom="column">
                        <wp:posOffset>140970</wp:posOffset>
                      </wp:positionH>
                      <wp:positionV relativeFrom="paragraph">
                        <wp:posOffset>44450</wp:posOffset>
                      </wp:positionV>
                      <wp:extent cx="1127125" cy="294640"/>
                      <wp:effectExtent l="5080" t="4445" r="10795" b="5715"/>
                      <wp:wrapNone/>
                      <wp:docPr id="355" name="文本框 355"/>
                      <wp:cNvGraphicFramePr/>
                      <a:graphic xmlns:a="http://schemas.openxmlformats.org/drawingml/2006/main">
                        <a:graphicData uri="http://schemas.microsoft.com/office/word/2010/wordprocessingShape">
                          <wps:wsp>
                            <wps:cNvSpPr txBox="1">
                              <a:spLocks noChangeArrowheads="1"/>
                            </wps:cNvSpPr>
                            <wps:spPr bwMode="auto">
                              <a:xfrm>
                                <a:off x="0" y="0"/>
                                <a:ext cx="1127125" cy="294640"/>
                              </a:xfrm>
                              <a:prstGeom prst="rect">
                                <a:avLst/>
                              </a:prstGeom>
                              <a:solidFill>
                                <a:srgbClr val="FFFFFF"/>
                              </a:solidFill>
                              <a:ln w="9525">
                                <a:solidFill>
                                  <a:srgbClr val="000000"/>
                                </a:solidFill>
                                <a:miter lim="800000"/>
                              </a:ln>
                              <a:effectLst/>
                            </wps:spPr>
                            <wps:txbx>
                              <w:txbxContent>
                                <w:p w14:paraId="173931A4">
                                  <w:pPr>
                                    <w:jc w:val="center"/>
                                  </w:pPr>
                                  <w:r>
                                    <w:rPr>
                                      <w:rFonts w:hint="eastAsia"/>
                                    </w:rPr>
                                    <w:t>信息反馈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1.1pt;margin-top:3.5pt;height:23.2pt;width:88.75pt;z-index:251666432;mso-width-relative:page;mso-height-relative:page;" fillcolor="#FFFFFF" filled="t" stroked="t" coordsize="21600,21600" o:gfxdata="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speTNcAAAAHAQAADwAAAAAAAAABACAA&#10;AAAiAAAAZHJzL2Rvd25yZXYueG1sUEsBAhQAFAAAAAgAh07iQGRgTQlHAgAAmQQAAA4AAAAAAAAA&#10;AQAgAAAAJgEAAGRycy9lMm9Eb2MueG1sUEsFBgAAAAAGAAYAWQEAAN8FAAAAAA==&#10;">
                      <v:fill on="t" focussize="0,0"/>
                      <v:stroke color="#000000" miterlimit="8" joinstyle="miter"/>
                      <v:imagedata o:title=""/>
                      <o:lock v:ext="edit" aspectratio="f"/>
                      <v:textbox>
                        <w:txbxContent>
                          <w:p w14:paraId="173931A4">
                            <w:pPr>
                              <w:jc w:val="center"/>
                            </w:pPr>
                            <w:r>
                              <w:rPr>
                                <w:rFonts w:hint="eastAsia"/>
                              </w:rPr>
                              <w:t>信息反馈</w:t>
                            </w:r>
                          </w:p>
                        </w:txbxContent>
                      </v:textbox>
                    </v:shape>
                  </w:pict>
                </mc:Fallback>
              </mc:AlternateContent>
            </w:r>
          </w:p>
        </w:tc>
        <w:tc>
          <w:tcPr>
            <w:tcW w:w="1107" w:type="pct"/>
            <w:tcBorders>
              <w:top w:val="single" w:color="auto" w:sz="6" w:space="0"/>
            </w:tcBorders>
          </w:tcPr>
          <w:p w14:paraId="1C23D6D3">
            <w:pPr>
              <w:adjustRightInd w:val="0"/>
              <w:snapToGrid w:val="0"/>
              <w:spacing w:line="300" w:lineRule="auto"/>
              <w:rPr>
                <w:szCs w:val="21"/>
              </w:rPr>
            </w:pPr>
          </w:p>
          <w:p w14:paraId="6DDD5A04">
            <w:pPr>
              <w:tabs>
                <w:tab w:val="left" w:pos="720"/>
              </w:tabs>
              <w:adjustRightInd w:val="0"/>
              <w:snapToGrid w:val="0"/>
              <w:spacing w:line="300" w:lineRule="auto"/>
              <w:rPr>
                <w:szCs w:val="21"/>
              </w:rPr>
            </w:pPr>
            <w:r>
              <w:rPr>
                <w:szCs w:val="21"/>
              </w:rPr>
              <w:t>邮件</w:t>
            </w:r>
          </w:p>
          <w:p w14:paraId="53DC5483">
            <w:pPr>
              <w:tabs>
                <w:tab w:val="left" w:pos="720"/>
              </w:tabs>
              <w:adjustRightInd w:val="0"/>
              <w:snapToGrid w:val="0"/>
              <w:spacing w:line="300" w:lineRule="auto"/>
              <w:rPr>
                <w:szCs w:val="21"/>
              </w:rPr>
            </w:pPr>
          </w:p>
          <w:p w14:paraId="083DF21F">
            <w:pPr>
              <w:tabs>
                <w:tab w:val="left" w:pos="720"/>
              </w:tabs>
              <w:adjustRightInd w:val="0"/>
              <w:snapToGrid w:val="0"/>
              <w:spacing w:line="300" w:lineRule="auto"/>
              <w:rPr>
                <w:szCs w:val="21"/>
              </w:rPr>
            </w:pPr>
            <w:r>
              <w:rPr>
                <w:szCs w:val="21"/>
              </w:rPr>
              <w:t>邮件</w:t>
            </w:r>
          </w:p>
          <w:p w14:paraId="5920E4E3">
            <w:pPr>
              <w:tabs>
                <w:tab w:val="left" w:pos="720"/>
              </w:tabs>
              <w:adjustRightInd w:val="0"/>
              <w:snapToGrid w:val="0"/>
              <w:spacing w:line="300" w:lineRule="auto"/>
              <w:rPr>
                <w:szCs w:val="21"/>
              </w:rPr>
            </w:pPr>
          </w:p>
          <w:p w14:paraId="58399F2C">
            <w:pPr>
              <w:tabs>
                <w:tab w:val="left" w:pos="720"/>
              </w:tabs>
              <w:adjustRightInd w:val="0"/>
              <w:snapToGrid w:val="0"/>
              <w:spacing w:line="300" w:lineRule="auto"/>
              <w:rPr>
                <w:szCs w:val="21"/>
              </w:rPr>
            </w:pPr>
          </w:p>
          <w:p w14:paraId="3E405D95">
            <w:pPr>
              <w:tabs>
                <w:tab w:val="left" w:pos="720"/>
              </w:tabs>
              <w:adjustRightInd w:val="0"/>
              <w:snapToGrid w:val="0"/>
              <w:spacing w:line="300" w:lineRule="auto"/>
              <w:rPr>
                <w:szCs w:val="21"/>
              </w:rPr>
            </w:pPr>
            <w:r>
              <w:rPr>
                <w:szCs w:val="21"/>
              </w:rPr>
              <w:t>顾客信息反馈单</w:t>
            </w:r>
          </w:p>
          <w:p w14:paraId="02E52A7A">
            <w:pPr>
              <w:tabs>
                <w:tab w:val="left" w:pos="720"/>
              </w:tabs>
              <w:adjustRightInd w:val="0"/>
              <w:snapToGrid w:val="0"/>
              <w:spacing w:line="300" w:lineRule="auto"/>
              <w:rPr>
                <w:szCs w:val="21"/>
              </w:rPr>
            </w:pPr>
          </w:p>
          <w:p w14:paraId="3A60C354">
            <w:pPr>
              <w:tabs>
                <w:tab w:val="left" w:pos="720"/>
              </w:tabs>
              <w:adjustRightInd w:val="0"/>
              <w:snapToGrid w:val="0"/>
              <w:spacing w:line="300" w:lineRule="auto"/>
              <w:rPr>
                <w:szCs w:val="21"/>
              </w:rPr>
            </w:pPr>
          </w:p>
          <w:p w14:paraId="2599DF56">
            <w:pPr>
              <w:tabs>
                <w:tab w:val="left" w:pos="720"/>
              </w:tabs>
              <w:adjustRightInd w:val="0"/>
              <w:snapToGrid w:val="0"/>
              <w:spacing w:line="300" w:lineRule="auto"/>
              <w:rPr>
                <w:szCs w:val="21"/>
              </w:rPr>
            </w:pPr>
          </w:p>
          <w:p w14:paraId="2D654CB8">
            <w:pPr>
              <w:tabs>
                <w:tab w:val="left" w:pos="720"/>
              </w:tabs>
              <w:adjustRightInd w:val="0"/>
              <w:snapToGrid w:val="0"/>
              <w:spacing w:line="300" w:lineRule="auto"/>
              <w:rPr>
                <w:szCs w:val="21"/>
              </w:rPr>
            </w:pPr>
            <w:r>
              <w:rPr>
                <w:szCs w:val="21"/>
              </w:rPr>
              <w:t>顾客信息反馈单</w:t>
            </w:r>
          </w:p>
          <w:p w14:paraId="6354A63A">
            <w:pPr>
              <w:tabs>
                <w:tab w:val="left" w:pos="720"/>
              </w:tabs>
              <w:adjustRightInd w:val="0"/>
              <w:snapToGrid w:val="0"/>
              <w:spacing w:line="300" w:lineRule="auto"/>
              <w:rPr>
                <w:szCs w:val="21"/>
              </w:rPr>
            </w:pPr>
            <w:r>
              <w:rPr>
                <w:szCs w:val="21"/>
              </w:rPr>
              <w:t>反馈订单</w:t>
            </w:r>
          </w:p>
          <w:p w14:paraId="6BD838ED">
            <w:pPr>
              <w:tabs>
                <w:tab w:val="left" w:pos="720"/>
              </w:tabs>
              <w:adjustRightInd w:val="0"/>
              <w:snapToGrid w:val="0"/>
              <w:spacing w:line="300" w:lineRule="auto"/>
              <w:jc w:val="center"/>
              <w:rPr>
                <w:szCs w:val="21"/>
              </w:rPr>
            </w:pPr>
          </w:p>
          <w:p w14:paraId="7324BBED">
            <w:pPr>
              <w:tabs>
                <w:tab w:val="left" w:pos="720"/>
              </w:tabs>
              <w:adjustRightInd w:val="0"/>
              <w:snapToGrid w:val="0"/>
              <w:spacing w:line="300" w:lineRule="auto"/>
              <w:rPr>
                <w:szCs w:val="21"/>
              </w:rPr>
            </w:pPr>
          </w:p>
          <w:p w14:paraId="33D168A0">
            <w:pPr>
              <w:tabs>
                <w:tab w:val="left" w:pos="720"/>
              </w:tabs>
              <w:adjustRightInd w:val="0"/>
              <w:snapToGrid w:val="0"/>
              <w:spacing w:line="300" w:lineRule="auto"/>
              <w:rPr>
                <w:szCs w:val="21"/>
              </w:rPr>
            </w:pPr>
            <w:r>
              <w:rPr>
                <w:szCs w:val="21"/>
              </w:rPr>
              <w:t>发货通知单</w:t>
            </w:r>
          </w:p>
          <w:p w14:paraId="1F6DFB29">
            <w:pPr>
              <w:tabs>
                <w:tab w:val="left" w:pos="720"/>
              </w:tabs>
              <w:adjustRightInd w:val="0"/>
              <w:snapToGrid w:val="0"/>
              <w:spacing w:line="300" w:lineRule="auto"/>
              <w:rPr>
                <w:szCs w:val="21"/>
              </w:rPr>
            </w:pPr>
          </w:p>
          <w:p w14:paraId="25070401">
            <w:pPr>
              <w:tabs>
                <w:tab w:val="left" w:pos="720"/>
              </w:tabs>
              <w:adjustRightInd w:val="0"/>
              <w:snapToGrid w:val="0"/>
              <w:spacing w:line="300" w:lineRule="auto"/>
              <w:rPr>
                <w:szCs w:val="21"/>
              </w:rPr>
            </w:pPr>
            <w:r>
              <w:rPr>
                <w:szCs w:val="21"/>
              </w:rPr>
              <w:t>发货通知单</w:t>
            </w:r>
          </w:p>
          <w:p w14:paraId="35C5238D">
            <w:pPr>
              <w:tabs>
                <w:tab w:val="left" w:pos="720"/>
              </w:tabs>
              <w:adjustRightInd w:val="0"/>
              <w:snapToGrid w:val="0"/>
              <w:spacing w:line="300" w:lineRule="auto"/>
              <w:rPr>
                <w:szCs w:val="21"/>
              </w:rPr>
            </w:pPr>
          </w:p>
          <w:p w14:paraId="2F0B377F">
            <w:pPr>
              <w:tabs>
                <w:tab w:val="left" w:pos="720"/>
              </w:tabs>
              <w:adjustRightInd w:val="0"/>
              <w:snapToGrid w:val="0"/>
              <w:spacing w:line="300" w:lineRule="auto"/>
              <w:rPr>
                <w:szCs w:val="21"/>
              </w:rPr>
            </w:pPr>
          </w:p>
          <w:p w14:paraId="3884CEF9">
            <w:pPr>
              <w:tabs>
                <w:tab w:val="left" w:pos="720"/>
              </w:tabs>
              <w:adjustRightInd w:val="0"/>
              <w:snapToGrid w:val="0"/>
              <w:spacing w:line="300" w:lineRule="auto"/>
              <w:rPr>
                <w:szCs w:val="21"/>
              </w:rPr>
            </w:pPr>
            <w:r>
              <w:rPr>
                <w:szCs w:val="21"/>
              </w:rPr>
              <w:t>邮件</w:t>
            </w:r>
          </w:p>
          <w:p w14:paraId="791D1999">
            <w:pPr>
              <w:tabs>
                <w:tab w:val="left" w:pos="720"/>
              </w:tabs>
              <w:adjustRightInd w:val="0"/>
              <w:snapToGrid w:val="0"/>
              <w:spacing w:line="300" w:lineRule="auto"/>
              <w:rPr>
                <w:szCs w:val="21"/>
              </w:rPr>
            </w:pPr>
          </w:p>
        </w:tc>
        <w:tc>
          <w:tcPr>
            <w:tcW w:w="2348" w:type="pct"/>
            <w:tcBorders>
              <w:top w:val="single" w:color="auto" w:sz="6" w:space="0"/>
            </w:tcBorders>
          </w:tcPr>
          <w:p w14:paraId="41EFB7E0">
            <w:pPr>
              <w:adjustRightInd w:val="0"/>
              <w:snapToGrid w:val="0"/>
              <w:spacing w:line="300" w:lineRule="auto"/>
              <w:rPr>
                <w:szCs w:val="21"/>
              </w:rPr>
            </w:pPr>
            <w:r>
              <w:rPr>
                <w:szCs w:val="21"/>
              </w:rPr>
              <w:t>顾客以电话、E-mail或传真的方式向安售后服务部传达信息。</w:t>
            </w:r>
          </w:p>
          <w:p w14:paraId="7C31364E">
            <w:pPr>
              <w:adjustRightInd w:val="0"/>
              <w:snapToGrid w:val="0"/>
              <w:spacing w:line="300" w:lineRule="auto"/>
              <w:rPr>
                <w:szCs w:val="21"/>
              </w:rPr>
            </w:pPr>
            <w:r>
              <w:rPr>
                <w:szCs w:val="21"/>
              </w:rPr>
              <w:t xml:space="preserve">售后服务部接收到顾客信息后，查询确认物料是否由我司发货。 </w:t>
            </w:r>
          </w:p>
          <w:p w14:paraId="277071D5">
            <w:pPr>
              <w:adjustRightInd w:val="0"/>
              <w:snapToGrid w:val="0"/>
              <w:spacing w:line="300" w:lineRule="auto"/>
              <w:rPr>
                <w:szCs w:val="21"/>
              </w:rPr>
            </w:pPr>
          </w:p>
          <w:p w14:paraId="23779535">
            <w:pPr>
              <w:tabs>
                <w:tab w:val="left" w:pos="720"/>
              </w:tabs>
              <w:adjustRightInd w:val="0"/>
              <w:snapToGrid w:val="0"/>
              <w:spacing w:line="300" w:lineRule="auto"/>
              <w:rPr>
                <w:szCs w:val="21"/>
              </w:rPr>
            </w:pPr>
            <w:r>
              <w:rPr>
                <w:szCs w:val="21"/>
              </w:rPr>
              <w:t>确认信息后，售后服务部生成《顾客信息反馈单》，和顾客确认物料明细信息，并将确认的物料和规定的交期通知制造部。</w:t>
            </w:r>
          </w:p>
          <w:p w14:paraId="44F47BC7">
            <w:pPr>
              <w:tabs>
                <w:tab w:val="left" w:pos="720"/>
              </w:tabs>
              <w:adjustRightInd w:val="0"/>
              <w:snapToGrid w:val="0"/>
              <w:spacing w:line="300" w:lineRule="auto"/>
              <w:rPr>
                <w:szCs w:val="21"/>
              </w:rPr>
            </w:pPr>
            <w:r>
              <w:rPr>
                <w:szCs w:val="21"/>
              </w:rPr>
              <w:t>确认物料后，制造部准备物料。</w:t>
            </w:r>
          </w:p>
          <w:p w14:paraId="4973E9A6">
            <w:pPr>
              <w:tabs>
                <w:tab w:val="left" w:pos="720"/>
              </w:tabs>
              <w:adjustRightInd w:val="0"/>
              <w:snapToGrid w:val="0"/>
              <w:spacing w:line="300" w:lineRule="auto"/>
              <w:rPr>
                <w:szCs w:val="21"/>
              </w:rPr>
            </w:pPr>
            <w:r>
              <w:rPr>
                <w:szCs w:val="21"/>
              </w:rPr>
              <w:t>若为供方直发物料，直接通知供方直发，并把发货证据提交售后服务部备案。</w:t>
            </w:r>
          </w:p>
          <w:p w14:paraId="666F0FA0">
            <w:pPr>
              <w:tabs>
                <w:tab w:val="left" w:pos="720"/>
              </w:tabs>
              <w:adjustRightInd w:val="0"/>
              <w:snapToGrid w:val="0"/>
              <w:spacing w:line="300" w:lineRule="auto"/>
              <w:rPr>
                <w:szCs w:val="21"/>
              </w:rPr>
            </w:pPr>
          </w:p>
          <w:p w14:paraId="56F5BE11">
            <w:pPr>
              <w:tabs>
                <w:tab w:val="left" w:pos="720"/>
              </w:tabs>
              <w:adjustRightInd w:val="0"/>
              <w:snapToGrid w:val="0"/>
              <w:spacing w:line="300" w:lineRule="auto"/>
              <w:rPr>
                <w:szCs w:val="21"/>
              </w:rPr>
            </w:pPr>
            <w:r>
              <w:rPr>
                <w:szCs w:val="21"/>
              </w:rPr>
              <w:t>若为我司发货物料，售后服务部按《顾客信息反馈单》通知市场部下单，准备好物料后，交由仓库发货。</w:t>
            </w:r>
          </w:p>
          <w:p w14:paraId="264BA840">
            <w:pPr>
              <w:tabs>
                <w:tab w:val="left" w:pos="720"/>
              </w:tabs>
              <w:adjustRightInd w:val="0"/>
              <w:snapToGrid w:val="0"/>
              <w:spacing w:line="300" w:lineRule="auto"/>
              <w:rPr>
                <w:szCs w:val="21"/>
              </w:rPr>
            </w:pPr>
            <w:r>
              <w:rPr>
                <w:szCs w:val="21"/>
              </w:rPr>
              <w:t>市场部按照反馈交期，打印《发货通知单》，并通知成品仓库发货</w:t>
            </w:r>
          </w:p>
          <w:p w14:paraId="1FF7B73C">
            <w:pPr>
              <w:tabs>
                <w:tab w:val="left" w:pos="720"/>
              </w:tabs>
              <w:adjustRightInd w:val="0"/>
              <w:snapToGrid w:val="0"/>
              <w:spacing w:line="300" w:lineRule="auto"/>
              <w:rPr>
                <w:szCs w:val="21"/>
              </w:rPr>
            </w:pPr>
            <w:r>
              <w:rPr>
                <w:szCs w:val="21"/>
              </w:rPr>
              <w:t>成品仓库按《发货通知单》发货，并且将发货信息（快递号等）提交售后服务部备案。</w:t>
            </w:r>
          </w:p>
          <w:p w14:paraId="3F93B1CE">
            <w:pPr>
              <w:tabs>
                <w:tab w:val="left" w:pos="720"/>
              </w:tabs>
              <w:adjustRightInd w:val="0"/>
              <w:snapToGrid w:val="0"/>
              <w:spacing w:line="300" w:lineRule="auto"/>
              <w:rPr>
                <w:szCs w:val="21"/>
              </w:rPr>
            </w:pPr>
            <w:r>
              <w:rPr>
                <w:szCs w:val="21"/>
              </w:rPr>
              <w:t>售后服务部将发货信息提交给客户，同时通知市场部客户经理，以作跟踪</w:t>
            </w:r>
          </w:p>
        </w:tc>
      </w:tr>
    </w:tbl>
    <w:p w14:paraId="17B7331F">
      <w:pPr>
        <w:adjustRightInd w:val="0"/>
        <w:snapToGrid w:val="0"/>
        <w:spacing w:line="300" w:lineRule="auto"/>
        <w:rPr>
          <w:rFonts w:ascii="方正仿宋简体" w:eastAsia="方正仿宋简体"/>
          <w:b/>
          <w:sz w:val="32"/>
          <w:szCs w:val="32"/>
        </w:rPr>
      </w:pPr>
    </w:p>
    <w:p w14:paraId="763D3936">
      <w:pPr>
        <w:adjustRightInd w:val="0"/>
        <w:snapToGrid w:val="0"/>
        <w:spacing w:line="300" w:lineRule="auto"/>
        <w:outlineLvl w:val="3"/>
        <w:rPr>
          <w:rFonts w:ascii="方正仿宋简体" w:eastAsia="方正仿宋简体"/>
          <w:b/>
          <w:sz w:val="28"/>
          <w:szCs w:val="28"/>
        </w:rPr>
      </w:pPr>
      <w:r>
        <w:rPr>
          <w:rFonts w:hint="eastAsia" w:ascii="方正仿宋简体" w:eastAsia="方正仿宋简体"/>
          <w:b/>
          <w:sz w:val="28"/>
          <w:szCs w:val="28"/>
        </w:rPr>
        <w:t>2.5.3 企业社会责任</w:t>
      </w:r>
    </w:p>
    <w:p w14:paraId="4B6602E4">
      <w:pPr>
        <w:adjustRightInd w:val="0"/>
        <w:snapToGrid w:val="0"/>
        <w:spacing w:line="300" w:lineRule="auto"/>
        <w:ind w:firstLine="480" w:firstLineChars="200"/>
        <w:outlineLvl w:val="4"/>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a）公共责任</w:t>
      </w:r>
    </w:p>
    <w:p w14:paraId="05936B03">
      <w:pPr>
        <w:spacing w:line="300" w:lineRule="auto"/>
        <w:ind w:firstLine="463" w:firstLineChars="193"/>
        <w:jc w:val="left"/>
        <w:rPr>
          <w:rFonts w:ascii="方正仿宋简体" w:hAnsi="方正仿宋简体" w:eastAsia="方正仿宋简体" w:cs="方正仿宋简体"/>
          <w:kern w:val="0"/>
          <w:sz w:val="24"/>
        </w:rPr>
      </w:pPr>
      <w:r>
        <w:rPr>
          <w:rFonts w:hint="eastAsia" w:ascii="方正仿宋简体" w:hAnsi="方正仿宋简体" w:eastAsia="方正仿宋简体" w:cs="方正仿宋简体"/>
          <w:kern w:val="0"/>
          <w:sz w:val="24"/>
        </w:rPr>
        <w:t>公司的产品、服务和运营过程主要涉及产品安全、环境保护、能源消耗、综合利用、安全生产等方面的公共责任。其中，产品安全方面主要有曳引机、制动器引起的电、扶梯故障；环境保护方面主要有废气、废液、固体废弃物、危险化学品、噪音等；能源消耗方面主要有水、电、油等；安全生产方面主要有电炉、压装设备、重物吊装、职业病等。针对这些社会影响，公司采取了有效的改进措施。</w:t>
      </w:r>
    </w:p>
    <w:p w14:paraId="34176597">
      <w:pPr>
        <w:spacing w:line="300" w:lineRule="auto"/>
        <w:ind w:firstLine="463" w:firstLineChars="193"/>
        <w:jc w:val="left"/>
        <w:rPr>
          <w:rStyle w:val="39"/>
          <w:rFonts w:hint="default" w:ascii="方正仿宋简体" w:hAnsi="方正仿宋简体" w:eastAsia="方正仿宋简体" w:cs="方正仿宋简体"/>
          <w:sz w:val="24"/>
          <w:szCs w:val="24"/>
        </w:rPr>
      </w:pPr>
      <w:r>
        <w:rPr>
          <w:rStyle w:val="39"/>
          <w:rFonts w:hint="default" w:ascii="方正仿宋简体" w:hAnsi="方正仿宋简体" w:eastAsia="方正仿宋简体" w:cs="方正仿宋简体"/>
          <w:sz w:val="24"/>
          <w:szCs w:val="24"/>
        </w:rPr>
        <w:t>公司一直关注使基础设施符合环境和职业健康环境、安全管理的要求，严格执行“三同时”，即同时设计、同时施工、同时交付使用的原则。在设计、制作、购买设备过程中，积极考虑设备的安全性、环保性、舒适性。委托有资质的检测与评价单位展开工作场所职业危害因素检测。根据检测报告的检测数据识别出需要改进的环节和需要更新的个人劳动防护用品，及时处置因基础设施引起的环境和职业健康安全问题。公司配备了先进的污水处理设备，由第三方检验机构对废气、废水进行定期检测，所有生产污水和生活污水均已实现达标排放，危险废弃物由符合资质的公司进行转运处置，实现了危废处理的动态跟踪。此外，公司利用屋顶进行太阳能发电。</w:t>
      </w:r>
    </w:p>
    <w:p w14:paraId="472588A5">
      <w:pPr>
        <w:spacing w:line="300" w:lineRule="auto"/>
        <w:rPr>
          <w:kern w:val="0"/>
          <w:sz w:val="24"/>
        </w:rPr>
      </w:pPr>
      <w:r>
        <w:rPr>
          <w:kern w:val="0"/>
          <w:sz w:val="24"/>
        </w:rPr>
        <w:drawing>
          <wp:inline distT="0" distB="0" distL="114300" distR="114300">
            <wp:extent cx="5257800" cy="1960245"/>
            <wp:effectExtent l="0" t="0" r="0" b="190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5257800" cy="1960245"/>
                    </a:xfrm>
                    <a:prstGeom prst="rect">
                      <a:avLst/>
                    </a:prstGeom>
                    <a:noFill/>
                    <a:ln>
                      <a:noFill/>
                    </a:ln>
                  </pic:spPr>
                </pic:pic>
              </a:graphicData>
            </a:graphic>
          </wp:inline>
        </w:drawing>
      </w:r>
    </w:p>
    <w:p w14:paraId="65441EC9">
      <w:pPr>
        <w:pStyle w:val="5"/>
        <w:rPr>
          <w:rFonts w:ascii="方正仿宋简体" w:hAnsi="方正仿宋简体" w:eastAsia="方正仿宋简体" w:cs="方正仿宋简体"/>
          <w:b w:val="0"/>
          <w:bCs/>
          <w:kern w:val="0"/>
          <w:sz w:val="24"/>
          <w:szCs w:val="32"/>
        </w:rPr>
      </w:pPr>
      <w:r>
        <w:rPr>
          <w:rFonts w:hint="eastAsia" w:ascii="方正仿宋简体" w:hAnsi="方正仿宋简体" w:eastAsia="方正仿宋简体" w:cs="方正仿宋简体"/>
          <w:b w:val="0"/>
          <w:bCs/>
          <w:kern w:val="0"/>
          <w:sz w:val="24"/>
          <w:szCs w:val="32"/>
        </w:rPr>
        <w:t>公司在厂房顶建设太阳能</w:t>
      </w:r>
    </w:p>
    <w:p w14:paraId="24E41268">
      <w:pPr>
        <w:adjustRightInd w:val="0"/>
        <w:snapToGrid w:val="0"/>
        <w:spacing w:line="300" w:lineRule="auto"/>
        <w:jc w:val="center"/>
        <w:rPr>
          <w:rFonts w:ascii="方正仿宋简体" w:hAnsi="方正仿宋简体" w:eastAsia="方正仿宋简体" w:cs="方正仿宋简体"/>
          <w:bCs/>
          <w:kern w:val="0"/>
          <w:sz w:val="24"/>
        </w:rPr>
      </w:pPr>
      <w:r>
        <w:rPr>
          <w:rFonts w:hint="eastAsia" w:ascii="方正仿宋简体" w:hAnsi="方正仿宋简体" w:eastAsia="方正仿宋简体" w:cs="方正仿宋简体"/>
          <w:bCs/>
          <w:kern w:val="0"/>
          <w:sz w:val="24"/>
        </w:rPr>
        <w:t>产品、服务和运营对社会影响措施表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7052"/>
      </w:tblGrid>
      <w:tr w14:paraId="04B3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951" w:type="dxa"/>
            <w:shd w:val="clear" w:color="auto" w:fill="183883"/>
            <w:vAlign w:val="center"/>
          </w:tcPr>
          <w:p w14:paraId="6F98DAE6">
            <w:pPr>
              <w:adjustRightInd w:val="0"/>
              <w:snapToGrid w:val="0"/>
              <w:spacing w:line="300" w:lineRule="auto"/>
              <w:jc w:val="center"/>
              <w:rPr>
                <w:b/>
                <w:kern w:val="0"/>
                <w:sz w:val="24"/>
              </w:rPr>
            </w:pPr>
            <w:r>
              <w:rPr>
                <w:b/>
                <w:kern w:val="0"/>
                <w:sz w:val="24"/>
              </w:rPr>
              <w:t>项目</w:t>
            </w:r>
          </w:p>
        </w:tc>
        <w:tc>
          <w:tcPr>
            <w:tcW w:w="7052" w:type="dxa"/>
            <w:shd w:val="clear" w:color="auto" w:fill="183883"/>
            <w:vAlign w:val="center"/>
          </w:tcPr>
          <w:p w14:paraId="37E1764A">
            <w:pPr>
              <w:adjustRightInd w:val="0"/>
              <w:snapToGrid w:val="0"/>
              <w:spacing w:line="300" w:lineRule="auto"/>
              <w:jc w:val="center"/>
              <w:rPr>
                <w:b/>
                <w:kern w:val="0"/>
                <w:sz w:val="24"/>
              </w:rPr>
            </w:pPr>
            <w:r>
              <w:rPr>
                <w:b/>
                <w:kern w:val="0"/>
                <w:sz w:val="24"/>
              </w:rPr>
              <w:t>现有控制措施</w:t>
            </w:r>
          </w:p>
        </w:tc>
      </w:tr>
      <w:tr w14:paraId="7F6C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2D8473CE">
            <w:pPr>
              <w:adjustRightInd w:val="0"/>
              <w:snapToGrid w:val="0"/>
              <w:spacing w:line="300" w:lineRule="auto"/>
              <w:jc w:val="center"/>
              <w:rPr>
                <w:kern w:val="0"/>
                <w:sz w:val="24"/>
              </w:rPr>
            </w:pPr>
            <w:r>
              <w:rPr>
                <w:kern w:val="0"/>
                <w:sz w:val="24"/>
              </w:rPr>
              <w:t>质量安全</w:t>
            </w:r>
          </w:p>
        </w:tc>
        <w:tc>
          <w:tcPr>
            <w:tcW w:w="7052" w:type="dxa"/>
            <w:vAlign w:val="center"/>
          </w:tcPr>
          <w:p w14:paraId="0E6A52CD">
            <w:pPr>
              <w:numPr>
                <w:ilvl w:val="0"/>
                <w:numId w:val="2"/>
              </w:numPr>
              <w:adjustRightInd w:val="0"/>
              <w:snapToGrid w:val="0"/>
              <w:spacing w:line="300" w:lineRule="auto"/>
              <w:rPr>
                <w:kern w:val="0"/>
                <w:sz w:val="24"/>
              </w:rPr>
            </w:pPr>
            <w:r>
              <w:rPr>
                <w:kern w:val="0"/>
                <w:sz w:val="24"/>
              </w:rPr>
              <w:t>严格执行产品安全标准</w:t>
            </w:r>
          </w:p>
          <w:p w14:paraId="405ED086">
            <w:pPr>
              <w:numPr>
                <w:ilvl w:val="0"/>
                <w:numId w:val="2"/>
              </w:numPr>
              <w:adjustRightInd w:val="0"/>
              <w:snapToGrid w:val="0"/>
              <w:spacing w:line="300" w:lineRule="auto"/>
              <w:rPr>
                <w:kern w:val="0"/>
                <w:sz w:val="24"/>
              </w:rPr>
            </w:pPr>
            <w:r>
              <w:rPr>
                <w:kern w:val="0"/>
                <w:sz w:val="24"/>
              </w:rPr>
              <w:t>全过程的质量控制</w:t>
            </w:r>
          </w:p>
        </w:tc>
      </w:tr>
      <w:tr w14:paraId="50FA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61D4FEA8">
            <w:pPr>
              <w:adjustRightInd w:val="0"/>
              <w:snapToGrid w:val="0"/>
              <w:spacing w:line="300" w:lineRule="auto"/>
              <w:jc w:val="center"/>
              <w:rPr>
                <w:kern w:val="0"/>
                <w:sz w:val="24"/>
              </w:rPr>
            </w:pPr>
            <w:r>
              <w:rPr>
                <w:kern w:val="0"/>
                <w:sz w:val="24"/>
              </w:rPr>
              <w:t>环境保护</w:t>
            </w:r>
          </w:p>
        </w:tc>
        <w:tc>
          <w:tcPr>
            <w:tcW w:w="7052" w:type="dxa"/>
            <w:vAlign w:val="center"/>
          </w:tcPr>
          <w:p w14:paraId="727C1CC8">
            <w:pPr>
              <w:numPr>
                <w:ilvl w:val="0"/>
                <w:numId w:val="2"/>
              </w:numPr>
              <w:adjustRightInd w:val="0"/>
              <w:snapToGrid w:val="0"/>
              <w:spacing w:line="300" w:lineRule="auto"/>
              <w:rPr>
                <w:kern w:val="0"/>
                <w:sz w:val="24"/>
              </w:rPr>
            </w:pPr>
            <w:r>
              <w:rPr>
                <w:kern w:val="0"/>
                <w:sz w:val="24"/>
              </w:rPr>
              <w:t>严格按照环境管理体系要求</w:t>
            </w:r>
          </w:p>
          <w:p w14:paraId="1C556AA9">
            <w:pPr>
              <w:numPr>
                <w:ilvl w:val="0"/>
                <w:numId w:val="2"/>
              </w:numPr>
              <w:adjustRightInd w:val="0"/>
              <w:snapToGrid w:val="0"/>
              <w:spacing w:line="300" w:lineRule="auto"/>
              <w:rPr>
                <w:kern w:val="0"/>
                <w:sz w:val="24"/>
              </w:rPr>
            </w:pPr>
            <w:r>
              <w:rPr>
                <w:kern w:val="0"/>
                <w:sz w:val="24"/>
              </w:rPr>
              <w:t>喷涂线产水经过污水处理站处理后排入市政污水管网</w:t>
            </w:r>
          </w:p>
          <w:p w14:paraId="1F0E2319">
            <w:pPr>
              <w:numPr>
                <w:ilvl w:val="0"/>
                <w:numId w:val="2"/>
              </w:numPr>
              <w:adjustRightInd w:val="0"/>
              <w:snapToGrid w:val="0"/>
              <w:spacing w:line="300" w:lineRule="auto"/>
              <w:rPr>
                <w:kern w:val="0"/>
                <w:sz w:val="24"/>
              </w:rPr>
            </w:pPr>
            <w:r>
              <w:rPr>
                <w:kern w:val="0"/>
                <w:sz w:val="24"/>
              </w:rPr>
              <w:t>浮油定期刮捞，与冷却液一起危废处理</w:t>
            </w:r>
          </w:p>
          <w:p w14:paraId="16D165C9">
            <w:pPr>
              <w:numPr>
                <w:ilvl w:val="0"/>
                <w:numId w:val="2"/>
              </w:numPr>
              <w:adjustRightInd w:val="0"/>
              <w:snapToGrid w:val="0"/>
              <w:spacing w:line="300" w:lineRule="auto"/>
              <w:rPr>
                <w:kern w:val="0"/>
                <w:sz w:val="24"/>
              </w:rPr>
            </w:pPr>
            <w:r>
              <w:rPr>
                <w:kern w:val="0"/>
                <w:sz w:val="24"/>
              </w:rPr>
              <w:t>正常运行执行生产工艺规程</w:t>
            </w:r>
          </w:p>
          <w:p w14:paraId="38C4B1FD">
            <w:pPr>
              <w:numPr>
                <w:ilvl w:val="0"/>
                <w:numId w:val="2"/>
              </w:numPr>
              <w:adjustRightInd w:val="0"/>
              <w:snapToGrid w:val="0"/>
              <w:spacing w:line="300" w:lineRule="auto"/>
              <w:rPr>
                <w:kern w:val="0"/>
                <w:sz w:val="24"/>
              </w:rPr>
            </w:pPr>
            <w:r>
              <w:rPr>
                <w:kern w:val="0"/>
                <w:sz w:val="24"/>
              </w:rPr>
              <w:t>定期检查降低噪声排放设施的完好程度</w:t>
            </w:r>
          </w:p>
          <w:p w14:paraId="69216555">
            <w:pPr>
              <w:numPr>
                <w:ilvl w:val="0"/>
                <w:numId w:val="2"/>
              </w:numPr>
              <w:adjustRightInd w:val="0"/>
              <w:snapToGrid w:val="0"/>
              <w:spacing w:line="300" w:lineRule="auto"/>
              <w:rPr>
                <w:kern w:val="0"/>
                <w:sz w:val="24"/>
              </w:rPr>
            </w:pPr>
            <w:r>
              <w:rPr>
                <w:kern w:val="0"/>
                <w:sz w:val="24"/>
              </w:rPr>
              <w:t>对所有设备进行保养维修，增加润滑油、隔音垫圈，降低噪音污染</w:t>
            </w:r>
          </w:p>
          <w:p w14:paraId="51113446">
            <w:pPr>
              <w:numPr>
                <w:ilvl w:val="0"/>
                <w:numId w:val="2"/>
              </w:numPr>
              <w:adjustRightInd w:val="0"/>
              <w:snapToGrid w:val="0"/>
              <w:spacing w:line="300" w:lineRule="auto"/>
              <w:rPr>
                <w:kern w:val="0"/>
                <w:sz w:val="24"/>
              </w:rPr>
            </w:pPr>
            <w:r>
              <w:rPr>
                <w:kern w:val="0"/>
                <w:sz w:val="24"/>
              </w:rPr>
              <w:t>设置废弃物放置箱，并进行标识</w:t>
            </w:r>
          </w:p>
          <w:p w14:paraId="475AF225">
            <w:pPr>
              <w:numPr>
                <w:ilvl w:val="0"/>
                <w:numId w:val="2"/>
              </w:numPr>
              <w:adjustRightInd w:val="0"/>
              <w:snapToGrid w:val="0"/>
              <w:spacing w:line="300" w:lineRule="auto"/>
              <w:rPr>
                <w:kern w:val="0"/>
                <w:sz w:val="24"/>
              </w:rPr>
            </w:pPr>
            <w:r>
              <w:rPr>
                <w:kern w:val="0"/>
                <w:sz w:val="24"/>
              </w:rPr>
              <w:t>有害废物集中收存</w:t>
            </w:r>
          </w:p>
          <w:p w14:paraId="33A52D01">
            <w:pPr>
              <w:numPr>
                <w:ilvl w:val="0"/>
                <w:numId w:val="2"/>
              </w:numPr>
              <w:adjustRightInd w:val="0"/>
              <w:snapToGrid w:val="0"/>
              <w:spacing w:line="300" w:lineRule="auto"/>
              <w:rPr>
                <w:kern w:val="0"/>
                <w:sz w:val="24"/>
              </w:rPr>
            </w:pPr>
            <w:r>
              <w:rPr>
                <w:kern w:val="0"/>
                <w:sz w:val="24"/>
              </w:rPr>
              <w:t>在固定场所开展焊接，在焊接场所周围设置挡光板，鼓风机吹散焊接场所上方焊接烟尘</w:t>
            </w:r>
          </w:p>
        </w:tc>
      </w:tr>
      <w:tr w14:paraId="4B6C1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4C6D5285">
            <w:pPr>
              <w:adjustRightInd w:val="0"/>
              <w:snapToGrid w:val="0"/>
              <w:spacing w:line="300" w:lineRule="auto"/>
              <w:jc w:val="center"/>
              <w:rPr>
                <w:kern w:val="0"/>
                <w:sz w:val="24"/>
              </w:rPr>
            </w:pPr>
            <w:r>
              <w:rPr>
                <w:kern w:val="0"/>
                <w:sz w:val="24"/>
              </w:rPr>
              <w:t>节能降耗</w:t>
            </w:r>
          </w:p>
        </w:tc>
        <w:tc>
          <w:tcPr>
            <w:tcW w:w="7052" w:type="dxa"/>
            <w:vAlign w:val="center"/>
          </w:tcPr>
          <w:p w14:paraId="15840BEE">
            <w:pPr>
              <w:numPr>
                <w:ilvl w:val="0"/>
                <w:numId w:val="2"/>
              </w:numPr>
              <w:adjustRightInd w:val="0"/>
              <w:snapToGrid w:val="0"/>
              <w:spacing w:line="300" w:lineRule="auto"/>
              <w:rPr>
                <w:kern w:val="0"/>
                <w:sz w:val="24"/>
              </w:rPr>
            </w:pPr>
            <w:r>
              <w:rPr>
                <w:kern w:val="0"/>
                <w:sz w:val="24"/>
              </w:rPr>
              <w:t>生产现场的设备根据生产需要随用随开，禁止长时间空载运转</w:t>
            </w:r>
          </w:p>
          <w:p w14:paraId="60133515">
            <w:pPr>
              <w:numPr>
                <w:ilvl w:val="0"/>
                <w:numId w:val="2"/>
              </w:numPr>
              <w:adjustRightInd w:val="0"/>
              <w:snapToGrid w:val="0"/>
              <w:spacing w:line="300" w:lineRule="auto"/>
              <w:rPr>
                <w:kern w:val="0"/>
                <w:sz w:val="24"/>
              </w:rPr>
            </w:pPr>
            <w:r>
              <w:rPr>
                <w:kern w:val="0"/>
                <w:sz w:val="24"/>
              </w:rPr>
              <w:t>每月统计并与基数进行比较</w:t>
            </w:r>
          </w:p>
          <w:p w14:paraId="55085515">
            <w:pPr>
              <w:numPr>
                <w:ilvl w:val="0"/>
                <w:numId w:val="2"/>
              </w:numPr>
              <w:adjustRightInd w:val="0"/>
              <w:snapToGrid w:val="0"/>
              <w:spacing w:line="300" w:lineRule="auto"/>
              <w:rPr>
                <w:kern w:val="0"/>
                <w:sz w:val="24"/>
              </w:rPr>
            </w:pPr>
            <w:r>
              <w:rPr>
                <w:kern w:val="0"/>
                <w:sz w:val="24"/>
              </w:rPr>
              <w:t>设备节能改造</w:t>
            </w:r>
          </w:p>
          <w:p w14:paraId="18904062">
            <w:pPr>
              <w:numPr>
                <w:ilvl w:val="0"/>
                <w:numId w:val="2"/>
              </w:numPr>
              <w:adjustRightInd w:val="0"/>
              <w:snapToGrid w:val="0"/>
              <w:spacing w:line="300" w:lineRule="auto"/>
              <w:rPr>
                <w:kern w:val="0"/>
                <w:sz w:val="24"/>
              </w:rPr>
            </w:pPr>
            <w:r>
              <w:rPr>
                <w:kern w:val="0"/>
                <w:sz w:val="24"/>
              </w:rPr>
              <w:t>每月分析能耗，督促各部门改善</w:t>
            </w:r>
          </w:p>
          <w:p w14:paraId="13D1BF6A">
            <w:pPr>
              <w:numPr>
                <w:ilvl w:val="0"/>
                <w:numId w:val="2"/>
              </w:numPr>
              <w:adjustRightInd w:val="0"/>
              <w:snapToGrid w:val="0"/>
              <w:spacing w:line="300" w:lineRule="auto"/>
              <w:rPr>
                <w:kern w:val="0"/>
                <w:sz w:val="24"/>
              </w:rPr>
            </w:pPr>
            <w:r>
              <w:rPr>
                <w:kern w:val="0"/>
                <w:sz w:val="24"/>
              </w:rPr>
              <w:t>技术工艺创新</w:t>
            </w:r>
          </w:p>
        </w:tc>
      </w:tr>
      <w:tr w14:paraId="02C01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3B3D0A2B">
            <w:pPr>
              <w:adjustRightInd w:val="0"/>
              <w:snapToGrid w:val="0"/>
              <w:spacing w:line="300" w:lineRule="auto"/>
              <w:jc w:val="center"/>
              <w:rPr>
                <w:kern w:val="0"/>
                <w:sz w:val="24"/>
              </w:rPr>
            </w:pPr>
            <w:r>
              <w:rPr>
                <w:kern w:val="0"/>
                <w:sz w:val="24"/>
              </w:rPr>
              <w:t>安全生产</w:t>
            </w:r>
          </w:p>
        </w:tc>
        <w:tc>
          <w:tcPr>
            <w:tcW w:w="7052" w:type="dxa"/>
            <w:vAlign w:val="center"/>
          </w:tcPr>
          <w:p w14:paraId="438751B9">
            <w:pPr>
              <w:numPr>
                <w:ilvl w:val="0"/>
                <w:numId w:val="2"/>
              </w:numPr>
              <w:adjustRightInd w:val="0"/>
              <w:snapToGrid w:val="0"/>
              <w:spacing w:line="300" w:lineRule="auto"/>
              <w:rPr>
                <w:kern w:val="0"/>
                <w:sz w:val="24"/>
              </w:rPr>
            </w:pPr>
            <w:r>
              <w:rPr>
                <w:kern w:val="0"/>
                <w:sz w:val="24"/>
              </w:rPr>
              <w:t>严格按照职业健康安全管理体系要求</w:t>
            </w:r>
          </w:p>
          <w:p w14:paraId="293960A5">
            <w:pPr>
              <w:numPr>
                <w:ilvl w:val="0"/>
                <w:numId w:val="2"/>
              </w:numPr>
              <w:adjustRightInd w:val="0"/>
              <w:snapToGrid w:val="0"/>
              <w:spacing w:line="300" w:lineRule="auto"/>
              <w:rPr>
                <w:kern w:val="0"/>
                <w:sz w:val="24"/>
              </w:rPr>
            </w:pPr>
            <w:r>
              <w:rPr>
                <w:kern w:val="0"/>
                <w:sz w:val="24"/>
              </w:rPr>
              <w:t>实行目标管理，签订安全生产责任书</w:t>
            </w:r>
          </w:p>
          <w:p w14:paraId="0C6C322F">
            <w:pPr>
              <w:numPr>
                <w:ilvl w:val="0"/>
                <w:numId w:val="2"/>
              </w:numPr>
              <w:adjustRightInd w:val="0"/>
              <w:snapToGrid w:val="0"/>
              <w:spacing w:line="300" w:lineRule="auto"/>
              <w:rPr>
                <w:kern w:val="0"/>
                <w:sz w:val="24"/>
              </w:rPr>
            </w:pPr>
            <w:r>
              <w:rPr>
                <w:kern w:val="0"/>
                <w:sz w:val="24"/>
              </w:rPr>
              <w:t>员工安全意识培养，组织三级安全教育培训</w:t>
            </w:r>
          </w:p>
          <w:p w14:paraId="71DA40FC">
            <w:pPr>
              <w:numPr>
                <w:ilvl w:val="0"/>
                <w:numId w:val="2"/>
              </w:numPr>
              <w:adjustRightInd w:val="0"/>
              <w:snapToGrid w:val="0"/>
              <w:spacing w:line="300" w:lineRule="auto"/>
              <w:rPr>
                <w:kern w:val="0"/>
                <w:sz w:val="24"/>
              </w:rPr>
            </w:pPr>
            <w:r>
              <w:rPr>
                <w:kern w:val="0"/>
                <w:sz w:val="24"/>
              </w:rPr>
              <w:t>制定完善的应急预案，开展应急演练</w:t>
            </w:r>
          </w:p>
          <w:p w14:paraId="378B3626">
            <w:pPr>
              <w:numPr>
                <w:ilvl w:val="0"/>
                <w:numId w:val="2"/>
              </w:numPr>
              <w:adjustRightInd w:val="0"/>
              <w:snapToGrid w:val="0"/>
              <w:spacing w:line="300" w:lineRule="auto"/>
              <w:rPr>
                <w:kern w:val="0"/>
                <w:sz w:val="24"/>
              </w:rPr>
            </w:pPr>
            <w:r>
              <w:rPr>
                <w:kern w:val="0"/>
                <w:sz w:val="24"/>
              </w:rPr>
              <w:t>在具有安全隐患的位置放置安全标识、安全标语</w:t>
            </w:r>
          </w:p>
          <w:p w14:paraId="52A6893D">
            <w:pPr>
              <w:numPr>
                <w:ilvl w:val="0"/>
                <w:numId w:val="2"/>
              </w:numPr>
              <w:adjustRightInd w:val="0"/>
              <w:snapToGrid w:val="0"/>
              <w:spacing w:line="300" w:lineRule="auto"/>
              <w:rPr>
                <w:kern w:val="0"/>
                <w:sz w:val="24"/>
              </w:rPr>
            </w:pPr>
            <w:r>
              <w:rPr>
                <w:kern w:val="0"/>
                <w:sz w:val="24"/>
              </w:rPr>
              <w:t>各工序制作严格的安全操作规程</w:t>
            </w:r>
          </w:p>
          <w:p w14:paraId="0858D485">
            <w:pPr>
              <w:numPr>
                <w:ilvl w:val="0"/>
                <w:numId w:val="2"/>
              </w:numPr>
              <w:adjustRightInd w:val="0"/>
              <w:snapToGrid w:val="0"/>
              <w:spacing w:line="300" w:lineRule="auto"/>
              <w:rPr>
                <w:kern w:val="0"/>
                <w:sz w:val="24"/>
              </w:rPr>
            </w:pPr>
            <w:r>
              <w:rPr>
                <w:kern w:val="0"/>
                <w:sz w:val="24"/>
              </w:rPr>
              <w:t>对设备进行改造，杜绝安全隐患</w:t>
            </w:r>
          </w:p>
          <w:p w14:paraId="3CA60C2E">
            <w:pPr>
              <w:numPr>
                <w:ilvl w:val="0"/>
                <w:numId w:val="2"/>
              </w:numPr>
              <w:adjustRightInd w:val="0"/>
              <w:snapToGrid w:val="0"/>
              <w:spacing w:line="300" w:lineRule="auto"/>
              <w:rPr>
                <w:kern w:val="0"/>
                <w:sz w:val="24"/>
              </w:rPr>
            </w:pPr>
            <w:r>
              <w:rPr>
                <w:kern w:val="0"/>
                <w:sz w:val="24"/>
              </w:rPr>
              <w:t>安全知识竞赛</w:t>
            </w:r>
          </w:p>
        </w:tc>
      </w:tr>
      <w:tr w14:paraId="1597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14:paraId="1E01E020">
            <w:pPr>
              <w:adjustRightInd w:val="0"/>
              <w:snapToGrid w:val="0"/>
              <w:spacing w:line="300" w:lineRule="auto"/>
              <w:jc w:val="center"/>
              <w:rPr>
                <w:kern w:val="0"/>
                <w:sz w:val="24"/>
              </w:rPr>
            </w:pPr>
            <w:r>
              <w:rPr>
                <w:kern w:val="0"/>
                <w:sz w:val="24"/>
              </w:rPr>
              <w:t>公共卫生</w:t>
            </w:r>
          </w:p>
        </w:tc>
        <w:tc>
          <w:tcPr>
            <w:tcW w:w="7052" w:type="dxa"/>
            <w:vAlign w:val="center"/>
          </w:tcPr>
          <w:p w14:paraId="0A8EB537">
            <w:pPr>
              <w:numPr>
                <w:ilvl w:val="0"/>
                <w:numId w:val="2"/>
              </w:numPr>
              <w:adjustRightInd w:val="0"/>
              <w:snapToGrid w:val="0"/>
              <w:spacing w:line="300" w:lineRule="auto"/>
              <w:rPr>
                <w:kern w:val="0"/>
                <w:sz w:val="24"/>
              </w:rPr>
            </w:pPr>
            <w:r>
              <w:rPr>
                <w:kern w:val="0"/>
                <w:sz w:val="24"/>
              </w:rPr>
              <w:t>严格按照职业健康安全管理体系要求</w:t>
            </w:r>
          </w:p>
          <w:p w14:paraId="37DA09E1">
            <w:pPr>
              <w:numPr>
                <w:ilvl w:val="0"/>
                <w:numId w:val="2"/>
              </w:numPr>
              <w:adjustRightInd w:val="0"/>
              <w:snapToGrid w:val="0"/>
              <w:spacing w:line="300" w:lineRule="auto"/>
              <w:rPr>
                <w:kern w:val="0"/>
                <w:sz w:val="24"/>
              </w:rPr>
            </w:pPr>
            <w:r>
              <w:rPr>
                <w:kern w:val="0"/>
                <w:sz w:val="24"/>
              </w:rPr>
              <w:t>发放劳动保护用品、定期组织体检</w:t>
            </w:r>
          </w:p>
        </w:tc>
      </w:tr>
    </w:tbl>
    <w:p w14:paraId="430F4F27">
      <w:pPr>
        <w:adjustRightInd w:val="0"/>
        <w:snapToGrid w:val="0"/>
        <w:spacing w:line="300" w:lineRule="auto"/>
        <w:jc w:val="center"/>
        <w:rPr>
          <w:rFonts w:ascii="方正仿宋简体" w:hAnsi="Calibri" w:eastAsia="方正仿宋简体" w:cs="宋体"/>
          <w:kern w:val="0"/>
          <w:sz w:val="24"/>
          <w:lang w:val="zh-CN"/>
        </w:rPr>
      </w:pPr>
    </w:p>
    <w:p w14:paraId="5E78EF3F">
      <w:pPr>
        <w:adjustRightInd w:val="0"/>
        <w:snapToGrid w:val="0"/>
        <w:spacing w:line="300" w:lineRule="auto"/>
        <w:jc w:val="center"/>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对公众和环境的隐忧预见及应对</w:t>
      </w:r>
    </w:p>
    <w:tbl>
      <w:tblPr>
        <w:tblStyle w:val="22"/>
        <w:tblpPr w:leftFromText="180" w:rightFromText="180" w:vertAnchor="text" w:horzAnchor="page" w:tblpX="1701" w:tblpY="37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127"/>
        <w:gridCol w:w="2126"/>
        <w:gridCol w:w="3508"/>
      </w:tblGrid>
      <w:tr w14:paraId="4F7F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42" w:type="dxa"/>
            <w:shd w:val="clear" w:color="auto" w:fill="183883"/>
            <w:vAlign w:val="center"/>
          </w:tcPr>
          <w:p w14:paraId="0A98BDF6">
            <w:pPr>
              <w:adjustRightInd w:val="0"/>
              <w:snapToGrid w:val="0"/>
              <w:spacing w:line="300" w:lineRule="auto"/>
              <w:jc w:val="center"/>
              <w:rPr>
                <w:b/>
                <w:kern w:val="0"/>
                <w:sz w:val="24"/>
              </w:rPr>
            </w:pPr>
            <w:r>
              <w:rPr>
                <w:b/>
                <w:kern w:val="0"/>
                <w:sz w:val="24"/>
              </w:rPr>
              <w:t>公众隐忧</w:t>
            </w:r>
          </w:p>
        </w:tc>
        <w:tc>
          <w:tcPr>
            <w:tcW w:w="2127" w:type="dxa"/>
            <w:shd w:val="clear" w:color="auto" w:fill="183883"/>
            <w:vAlign w:val="center"/>
          </w:tcPr>
          <w:p w14:paraId="5B20F500">
            <w:pPr>
              <w:adjustRightInd w:val="0"/>
              <w:snapToGrid w:val="0"/>
              <w:spacing w:line="300" w:lineRule="auto"/>
              <w:jc w:val="center"/>
              <w:rPr>
                <w:b/>
                <w:kern w:val="0"/>
                <w:sz w:val="24"/>
              </w:rPr>
            </w:pPr>
            <w:r>
              <w:rPr>
                <w:b/>
                <w:kern w:val="0"/>
                <w:sz w:val="24"/>
              </w:rPr>
              <w:t>预见方法</w:t>
            </w:r>
          </w:p>
        </w:tc>
        <w:tc>
          <w:tcPr>
            <w:tcW w:w="2126" w:type="dxa"/>
            <w:shd w:val="clear" w:color="auto" w:fill="183883"/>
            <w:vAlign w:val="center"/>
          </w:tcPr>
          <w:p w14:paraId="03F153B3">
            <w:pPr>
              <w:adjustRightInd w:val="0"/>
              <w:snapToGrid w:val="0"/>
              <w:spacing w:line="300" w:lineRule="auto"/>
              <w:jc w:val="center"/>
              <w:rPr>
                <w:b/>
                <w:kern w:val="0"/>
                <w:sz w:val="24"/>
              </w:rPr>
            </w:pPr>
            <w:r>
              <w:rPr>
                <w:b/>
                <w:kern w:val="0"/>
                <w:sz w:val="24"/>
              </w:rPr>
              <w:t>产生原因</w:t>
            </w:r>
          </w:p>
        </w:tc>
        <w:tc>
          <w:tcPr>
            <w:tcW w:w="3508" w:type="dxa"/>
            <w:shd w:val="clear" w:color="auto" w:fill="183883"/>
            <w:vAlign w:val="center"/>
          </w:tcPr>
          <w:p w14:paraId="4134ABC6">
            <w:pPr>
              <w:adjustRightInd w:val="0"/>
              <w:snapToGrid w:val="0"/>
              <w:spacing w:line="300" w:lineRule="auto"/>
              <w:jc w:val="center"/>
              <w:rPr>
                <w:b/>
                <w:kern w:val="0"/>
                <w:sz w:val="24"/>
              </w:rPr>
            </w:pPr>
            <w:r>
              <w:rPr>
                <w:b/>
                <w:kern w:val="0"/>
                <w:sz w:val="24"/>
              </w:rPr>
              <w:t>应对措施</w:t>
            </w:r>
          </w:p>
        </w:tc>
      </w:tr>
      <w:tr w14:paraId="449A8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41E2C808">
            <w:pPr>
              <w:adjustRightInd w:val="0"/>
              <w:snapToGrid w:val="0"/>
              <w:spacing w:line="300" w:lineRule="auto"/>
              <w:jc w:val="center"/>
              <w:rPr>
                <w:kern w:val="0"/>
                <w:sz w:val="24"/>
              </w:rPr>
            </w:pPr>
            <w:r>
              <w:rPr>
                <w:kern w:val="0"/>
                <w:sz w:val="24"/>
              </w:rPr>
              <w:t>环境污染</w:t>
            </w:r>
          </w:p>
        </w:tc>
        <w:tc>
          <w:tcPr>
            <w:tcW w:w="2127" w:type="dxa"/>
            <w:vAlign w:val="center"/>
          </w:tcPr>
          <w:p w14:paraId="110DA270">
            <w:pPr>
              <w:adjustRightInd w:val="0"/>
              <w:snapToGrid w:val="0"/>
              <w:spacing w:line="300" w:lineRule="auto"/>
              <w:jc w:val="center"/>
              <w:rPr>
                <w:kern w:val="0"/>
                <w:sz w:val="24"/>
              </w:rPr>
            </w:pPr>
            <w:r>
              <w:rPr>
                <w:kern w:val="0"/>
                <w:sz w:val="24"/>
              </w:rPr>
              <w:t>事故预案</w:t>
            </w:r>
          </w:p>
        </w:tc>
        <w:tc>
          <w:tcPr>
            <w:tcW w:w="2126" w:type="dxa"/>
            <w:vAlign w:val="center"/>
          </w:tcPr>
          <w:p w14:paraId="48400816">
            <w:pPr>
              <w:adjustRightInd w:val="0"/>
              <w:snapToGrid w:val="0"/>
              <w:spacing w:line="300" w:lineRule="auto"/>
              <w:jc w:val="center"/>
              <w:rPr>
                <w:kern w:val="0"/>
                <w:sz w:val="24"/>
              </w:rPr>
            </w:pPr>
            <w:r>
              <w:rPr>
                <w:kern w:val="0"/>
                <w:sz w:val="24"/>
              </w:rPr>
              <w:t>违规操作</w:t>
            </w:r>
          </w:p>
        </w:tc>
        <w:tc>
          <w:tcPr>
            <w:tcW w:w="3508" w:type="dxa"/>
            <w:vAlign w:val="center"/>
          </w:tcPr>
          <w:p w14:paraId="6DCDB3B6">
            <w:pPr>
              <w:adjustRightInd w:val="0"/>
              <w:snapToGrid w:val="0"/>
              <w:spacing w:line="300" w:lineRule="auto"/>
              <w:rPr>
                <w:kern w:val="0"/>
                <w:sz w:val="24"/>
              </w:rPr>
            </w:pPr>
            <w:r>
              <w:rPr>
                <w:kern w:val="0"/>
                <w:sz w:val="24"/>
              </w:rPr>
              <w:t>加强设备定期维修管理，管理部门不定期抽检，加强培训教育、落实职责</w:t>
            </w:r>
          </w:p>
        </w:tc>
      </w:tr>
      <w:tr w14:paraId="31F93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5D8E0F4">
            <w:pPr>
              <w:adjustRightInd w:val="0"/>
              <w:snapToGrid w:val="0"/>
              <w:spacing w:line="300" w:lineRule="auto"/>
              <w:jc w:val="center"/>
              <w:rPr>
                <w:kern w:val="0"/>
                <w:sz w:val="24"/>
              </w:rPr>
            </w:pPr>
            <w:r>
              <w:rPr>
                <w:kern w:val="0"/>
                <w:sz w:val="24"/>
              </w:rPr>
              <w:t>能源消耗</w:t>
            </w:r>
          </w:p>
        </w:tc>
        <w:tc>
          <w:tcPr>
            <w:tcW w:w="2127" w:type="dxa"/>
            <w:vAlign w:val="center"/>
          </w:tcPr>
          <w:p w14:paraId="5A94D52F">
            <w:pPr>
              <w:adjustRightInd w:val="0"/>
              <w:snapToGrid w:val="0"/>
              <w:spacing w:line="300" w:lineRule="auto"/>
              <w:jc w:val="center"/>
              <w:rPr>
                <w:kern w:val="0"/>
                <w:sz w:val="24"/>
              </w:rPr>
            </w:pPr>
            <w:r>
              <w:rPr>
                <w:kern w:val="0"/>
                <w:sz w:val="24"/>
              </w:rPr>
              <w:t>定期统计分析</w:t>
            </w:r>
          </w:p>
        </w:tc>
        <w:tc>
          <w:tcPr>
            <w:tcW w:w="2126" w:type="dxa"/>
            <w:vAlign w:val="center"/>
          </w:tcPr>
          <w:p w14:paraId="63B73297">
            <w:pPr>
              <w:adjustRightInd w:val="0"/>
              <w:snapToGrid w:val="0"/>
              <w:spacing w:line="300" w:lineRule="auto"/>
              <w:jc w:val="center"/>
              <w:rPr>
                <w:kern w:val="0"/>
                <w:sz w:val="24"/>
              </w:rPr>
            </w:pPr>
            <w:r>
              <w:rPr>
                <w:kern w:val="0"/>
                <w:sz w:val="24"/>
              </w:rPr>
              <w:t>设备超龄服役</w:t>
            </w:r>
          </w:p>
        </w:tc>
        <w:tc>
          <w:tcPr>
            <w:tcW w:w="3508" w:type="dxa"/>
            <w:vAlign w:val="center"/>
          </w:tcPr>
          <w:p w14:paraId="638A47E7">
            <w:pPr>
              <w:adjustRightInd w:val="0"/>
              <w:snapToGrid w:val="0"/>
              <w:spacing w:line="300" w:lineRule="auto"/>
              <w:rPr>
                <w:kern w:val="0"/>
                <w:sz w:val="24"/>
                <w:szCs w:val="36"/>
              </w:rPr>
            </w:pPr>
            <w:r>
              <w:rPr>
                <w:kern w:val="0"/>
                <w:sz w:val="24"/>
              </w:rPr>
              <w:t>设备改造、更新</w:t>
            </w:r>
          </w:p>
        </w:tc>
      </w:tr>
      <w:tr w14:paraId="04006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23AB6DF2">
            <w:pPr>
              <w:adjustRightInd w:val="0"/>
              <w:snapToGrid w:val="0"/>
              <w:spacing w:line="300" w:lineRule="auto"/>
              <w:jc w:val="center"/>
              <w:rPr>
                <w:kern w:val="0"/>
                <w:sz w:val="24"/>
              </w:rPr>
            </w:pPr>
            <w:r>
              <w:rPr>
                <w:kern w:val="0"/>
                <w:sz w:val="24"/>
              </w:rPr>
              <w:t>产品安全</w:t>
            </w:r>
          </w:p>
        </w:tc>
        <w:tc>
          <w:tcPr>
            <w:tcW w:w="2127" w:type="dxa"/>
            <w:vAlign w:val="center"/>
          </w:tcPr>
          <w:p w14:paraId="3233DB2C">
            <w:pPr>
              <w:adjustRightInd w:val="0"/>
              <w:snapToGrid w:val="0"/>
              <w:spacing w:line="300" w:lineRule="auto"/>
              <w:jc w:val="center"/>
              <w:rPr>
                <w:kern w:val="0"/>
                <w:sz w:val="24"/>
              </w:rPr>
            </w:pPr>
            <w:r>
              <w:rPr>
                <w:kern w:val="0"/>
                <w:sz w:val="24"/>
              </w:rPr>
              <w:t>试验验证</w:t>
            </w:r>
          </w:p>
        </w:tc>
        <w:tc>
          <w:tcPr>
            <w:tcW w:w="2126" w:type="dxa"/>
            <w:vAlign w:val="center"/>
          </w:tcPr>
          <w:p w14:paraId="6BB8B619">
            <w:pPr>
              <w:adjustRightInd w:val="0"/>
              <w:snapToGrid w:val="0"/>
              <w:spacing w:line="300" w:lineRule="auto"/>
              <w:jc w:val="center"/>
              <w:rPr>
                <w:kern w:val="0"/>
                <w:sz w:val="24"/>
              </w:rPr>
            </w:pPr>
            <w:r>
              <w:rPr>
                <w:kern w:val="0"/>
                <w:sz w:val="24"/>
              </w:rPr>
              <w:t>非标设计</w:t>
            </w:r>
          </w:p>
        </w:tc>
        <w:tc>
          <w:tcPr>
            <w:tcW w:w="3508" w:type="dxa"/>
            <w:vAlign w:val="center"/>
          </w:tcPr>
          <w:p w14:paraId="2F14B912">
            <w:pPr>
              <w:adjustRightInd w:val="0"/>
              <w:snapToGrid w:val="0"/>
              <w:spacing w:line="300" w:lineRule="auto"/>
              <w:rPr>
                <w:kern w:val="0"/>
                <w:sz w:val="24"/>
              </w:rPr>
            </w:pPr>
            <w:r>
              <w:rPr>
                <w:kern w:val="0"/>
                <w:sz w:val="24"/>
              </w:rPr>
              <w:t>提高设计标准化率，引进</w:t>
            </w:r>
            <w:r>
              <w:rPr>
                <w:rStyle w:val="40"/>
                <w:rFonts w:ascii="Times New Roman" w:hAnsi="Times New Roman" w:cs="Times New Roman"/>
                <w:sz w:val="28"/>
                <w:szCs w:val="28"/>
              </w:rPr>
              <w:t>FMEA</w:t>
            </w:r>
          </w:p>
        </w:tc>
      </w:tr>
      <w:tr w14:paraId="0E18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14:paraId="731E45E6">
            <w:pPr>
              <w:adjustRightInd w:val="0"/>
              <w:snapToGrid w:val="0"/>
              <w:spacing w:line="300" w:lineRule="auto"/>
              <w:jc w:val="center"/>
              <w:rPr>
                <w:kern w:val="0"/>
                <w:sz w:val="24"/>
              </w:rPr>
            </w:pPr>
            <w:r>
              <w:rPr>
                <w:kern w:val="0"/>
                <w:sz w:val="24"/>
              </w:rPr>
              <w:t>安全生产</w:t>
            </w:r>
          </w:p>
        </w:tc>
        <w:tc>
          <w:tcPr>
            <w:tcW w:w="2127" w:type="dxa"/>
            <w:vAlign w:val="center"/>
          </w:tcPr>
          <w:p w14:paraId="0FEC5705">
            <w:pPr>
              <w:adjustRightInd w:val="0"/>
              <w:snapToGrid w:val="0"/>
              <w:spacing w:line="300" w:lineRule="auto"/>
              <w:jc w:val="center"/>
              <w:rPr>
                <w:kern w:val="0"/>
                <w:sz w:val="24"/>
              </w:rPr>
            </w:pPr>
            <w:r>
              <w:rPr>
                <w:kern w:val="0"/>
                <w:sz w:val="24"/>
              </w:rPr>
              <w:t>安全例会、制定安全岗位目标责任书</w:t>
            </w:r>
          </w:p>
        </w:tc>
        <w:tc>
          <w:tcPr>
            <w:tcW w:w="2126" w:type="dxa"/>
            <w:vAlign w:val="center"/>
          </w:tcPr>
          <w:p w14:paraId="18C66203">
            <w:pPr>
              <w:adjustRightInd w:val="0"/>
              <w:snapToGrid w:val="0"/>
              <w:spacing w:line="300" w:lineRule="auto"/>
              <w:jc w:val="center"/>
              <w:rPr>
                <w:kern w:val="0"/>
                <w:sz w:val="24"/>
              </w:rPr>
            </w:pPr>
            <w:r>
              <w:rPr>
                <w:kern w:val="0"/>
                <w:sz w:val="24"/>
              </w:rPr>
              <w:t>员工违章操作、管理部门监管不到位，未按体系要求运作</w:t>
            </w:r>
          </w:p>
        </w:tc>
        <w:tc>
          <w:tcPr>
            <w:tcW w:w="3508" w:type="dxa"/>
            <w:vAlign w:val="center"/>
          </w:tcPr>
          <w:p w14:paraId="5E90A322">
            <w:pPr>
              <w:adjustRightInd w:val="0"/>
              <w:snapToGrid w:val="0"/>
              <w:spacing w:line="300" w:lineRule="auto"/>
              <w:rPr>
                <w:kern w:val="0"/>
                <w:sz w:val="24"/>
              </w:rPr>
            </w:pPr>
            <w:r>
              <w:rPr>
                <w:kern w:val="0"/>
                <w:sz w:val="24"/>
              </w:rPr>
              <w:t>安全教育、提高员工安全意识，加强检查落实体系管理，建立应急预案</w:t>
            </w:r>
          </w:p>
        </w:tc>
      </w:tr>
    </w:tbl>
    <w:p w14:paraId="7D32F876">
      <w:pPr>
        <w:adjustRightInd w:val="0"/>
        <w:snapToGrid w:val="0"/>
        <w:spacing w:line="300" w:lineRule="auto"/>
        <w:jc w:val="center"/>
        <w:rPr>
          <w:rFonts w:ascii="方正仿宋简体" w:hAnsi="Calibri" w:eastAsia="方正仿宋简体" w:cs="宋体"/>
          <w:kern w:val="0"/>
          <w:sz w:val="24"/>
          <w:lang w:val="zh-CN"/>
        </w:rPr>
      </w:pPr>
    </w:p>
    <w:tbl>
      <w:tblPr>
        <w:tblStyle w:val="22"/>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7870"/>
      </w:tblGrid>
      <w:tr w14:paraId="0D2D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43" w:type="dxa"/>
            <w:shd w:val="clear" w:color="auto" w:fill="183883"/>
            <w:vAlign w:val="center"/>
          </w:tcPr>
          <w:p w14:paraId="570675C5">
            <w:pPr>
              <w:adjustRightInd w:val="0"/>
              <w:snapToGrid w:val="0"/>
              <w:spacing w:line="300" w:lineRule="auto"/>
              <w:jc w:val="center"/>
              <w:rPr>
                <w:b/>
                <w:kern w:val="0"/>
                <w:sz w:val="24"/>
              </w:rPr>
            </w:pPr>
            <w:r>
              <w:rPr>
                <w:b/>
                <w:kern w:val="0"/>
                <w:sz w:val="24"/>
              </w:rPr>
              <w:t>隐忧</w:t>
            </w:r>
          </w:p>
        </w:tc>
        <w:tc>
          <w:tcPr>
            <w:tcW w:w="7870" w:type="dxa"/>
            <w:shd w:val="clear" w:color="auto" w:fill="183883"/>
            <w:vAlign w:val="center"/>
          </w:tcPr>
          <w:p w14:paraId="45AE49F8">
            <w:pPr>
              <w:adjustRightInd w:val="0"/>
              <w:snapToGrid w:val="0"/>
              <w:spacing w:line="300" w:lineRule="auto"/>
              <w:jc w:val="center"/>
              <w:rPr>
                <w:b/>
                <w:kern w:val="0"/>
                <w:sz w:val="24"/>
              </w:rPr>
            </w:pPr>
            <w:r>
              <w:rPr>
                <w:b/>
                <w:kern w:val="0"/>
                <w:sz w:val="24"/>
              </w:rPr>
              <w:t>应对准备和措施</w:t>
            </w:r>
          </w:p>
        </w:tc>
      </w:tr>
      <w:tr w14:paraId="2AD9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dxa"/>
            <w:vAlign w:val="center"/>
          </w:tcPr>
          <w:p w14:paraId="3A70AE50">
            <w:pPr>
              <w:adjustRightInd w:val="0"/>
              <w:snapToGrid w:val="0"/>
              <w:spacing w:line="300" w:lineRule="auto"/>
              <w:jc w:val="center"/>
              <w:rPr>
                <w:kern w:val="0"/>
                <w:sz w:val="24"/>
              </w:rPr>
            </w:pPr>
            <w:r>
              <w:rPr>
                <w:kern w:val="0"/>
                <w:sz w:val="24"/>
              </w:rPr>
              <w:t>噪音大</w:t>
            </w:r>
          </w:p>
        </w:tc>
        <w:tc>
          <w:tcPr>
            <w:tcW w:w="7870" w:type="dxa"/>
            <w:vAlign w:val="center"/>
          </w:tcPr>
          <w:p w14:paraId="55CC7C41">
            <w:pPr>
              <w:adjustRightInd w:val="0"/>
              <w:snapToGrid w:val="0"/>
              <w:spacing w:line="300" w:lineRule="auto"/>
              <w:rPr>
                <w:kern w:val="0"/>
                <w:sz w:val="24"/>
              </w:rPr>
            </w:pPr>
            <w:r>
              <w:rPr>
                <w:kern w:val="0"/>
                <w:sz w:val="24"/>
              </w:rPr>
              <w:t>通过控制电磁噪音、机械噪音、制动器工作噪音来降低株机运行噪音。并在涉及预防控制中采用类似成功设计和设计验证，确保噪音控制在允许范围内并低国家标准允许值。</w:t>
            </w:r>
          </w:p>
        </w:tc>
      </w:tr>
      <w:tr w14:paraId="0211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dxa"/>
            <w:vAlign w:val="center"/>
          </w:tcPr>
          <w:p w14:paraId="4516712B">
            <w:pPr>
              <w:adjustRightInd w:val="0"/>
              <w:snapToGrid w:val="0"/>
              <w:spacing w:line="300" w:lineRule="auto"/>
              <w:jc w:val="center"/>
              <w:rPr>
                <w:kern w:val="0"/>
                <w:sz w:val="24"/>
              </w:rPr>
            </w:pPr>
            <w:r>
              <w:rPr>
                <w:kern w:val="0"/>
                <w:sz w:val="24"/>
              </w:rPr>
              <w:t>振动大</w:t>
            </w:r>
          </w:p>
        </w:tc>
        <w:tc>
          <w:tcPr>
            <w:tcW w:w="7870" w:type="dxa"/>
            <w:vAlign w:val="center"/>
          </w:tcPr>
          <w:p w14:paraId="10A2BAC0">
            <w:pPr>
              <w:adjustRightInd w:val="0"/>
              <w:snapToGrid w:val="0"/>
              <w:spacing w:line="300" w:lineRule="auto"/>
              <w:rPr>
                <w:kern w:val="0"/>
                <w:sz w:val="24"/>
              </w:rPr>
            </w:pPr>
            <w:r>
              <w:rPr>
                <w:rFonts w:hint="eastAsia"/>
                <w:kern w:val="0"/>
                <w:sz w:val="24"/>
              </w:rPr>
              <w:t>高速梯</w:t>
            </w:r>
            <w:r>
              <w:rPr>
                <w:kern w:val="0"/>
                <w:sz w:val="24"/>
              </w:rPr>
              <w:t>旋转零部件动平衡检测、采用高寿命、低游隙轴承。</w:t>
            </w:r>
          </w:p>
        </w:tc>
      </w:tr>
      <w:tr w14:paraId="3C628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dxa"/>
            <w:vAlign w:val="center"/>
          </w:tcPr>
          <w:p w14:paraId="65FEE928">
            <w:pPr>
              <w:adjustRightInd w:val="0"/>
              <w:snapToGrid w:val="0"/>
              <w:spacing w:line="300" w:lineRule="auto"/>
              <w:jc w:val="center"/>
              <w:rPr>
                <w:kern w:val="0"/>
                <w:sz w:val="24"/>
              </w:rPr>
            </w:pPr>
            <w:r>
              <w:rPr>
                <w:kern w:val="0"/>
                <w:sz w:val="24"/>
              </w:rPr>
              <w:t>制动力矩不够</w:t>
            </w:r>
          </w:p>
        </w:tc>
        <w:tc>
          <w:tcPr>
            <w:tcW w:w="7870" w:type="dxa"/>
            <w:vAlign w:val="center"/>
          </w:tcPr>
          <w:p w14:paraId="38A65FC6">
            <w:pPr>
              <w:adjustRightInd w:val="0"/>
              <w:snapToGrid w:val="0"/>
              <w:spacing w:line="300" w:lineRule="auto"/>
              <w:rPr>
                <w:kern w:val="0"/>
                <w:sz w:val="24"/>
              </w:rPr>
            </w:pPr>
            <w:r>
              <w:rPr>
                <w:kern w:val="0"/>
                <w:sz w:val="24"/>
              </w:rPr>
              <w:t>制动器单边力矩设计采用大于125%主机旋转扭矩</w:t>
            </w:r>
            <w:r>
              <w:rPr>
                <w:rFonts w:hint="eastAsia"/>
                <w:kern w:val="0"/>
                <w:sz w:val="24"/>
              </w:rPr>
              <w:t>设计</w:t>
            </w:r>
            <w:r>
              <w:rPr>
                <w:kern w:val="0"/>
                <w:sz w:val="24"/>
              </w:rPr>
              <w:t>，在每一主机上安装完成两个完全各自能独立工作的制动器。即使在一个制动器完全失效的情况下，依靠另一制动器，也能使主机减速和停止运行。</w:t>
            </w:r>
          </w:p>
        </w:tc>
      </w:tr>
      <w:tr w14:paraId="220C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dxa"/>
            <w:vAlign w:val="center"/>
          </w:tcPr>
          <w:p w14:paraId="03ACE4DB">
            <w:pPr>
              <w:adjustRightInd w:val="0"/>
              <w:snapToGrid w:val="0"/>
              <w:spacing w:line="300" w:lineRule="auto"/>
              <w:jc w:val="center"/>
              <w:rPr>
                <w:kern w:val="0"/>
                <w:sz w:val="24"/>
              </w:rPr>
            </w:pPr>
            <w:r>
              <w:rPr>
                <w:kern w:val="0"/>
                <w:sz w:val="24"/>
              </w:rPr>
              <w:t>超速运行</w:t>
            </w:r>
          </w:p>
        </w:tc>
        <w:tc>
          <w:tcPr>
            <w:tcW w:w="7870" w:type="dxa"/>
            <w:vAlign w:val="center"/>
          </w:tcPr>
          <w:p w14:paraId="247BF353">
            <w:pPr>
              <w:adjustRightInd w:val="0"/>
              <w:snapToGrid w:val="0"/>
              <w:spacing w:line="300" w:lineRule="auto"/>
              <w:rPr>
                <w:kern w:val="0"/>
                <w:sz w:val="24"/>
              </w:rPr>
            </w:pPr>
            <w:r>
              <w:rPr>
                <w:kern w:val="0"/>
                <w:sz w:val="24"/>
              </w:rPr>
              <w:t>电梯控制系统安装自动检测系，一旦超速，制动器会抱闸制停。</w:t>
            </w:r>
          </w:p>
        </w:tc>
      </w:tr>
    </w:tbl>
    <w:p w14:paraId="444D7B1F">
      <w:pPr>
        <w:adjustRightInd w:val="0"/>
        <w:snapToGrid w:val="0"/>
        <w:spacing w:before="156" w:beforeLines="50" w:after="156" w:afterLines="50" w:line="300" w:lineRule="auto"/>
        <w:ind w:firstLine="480" w:firstLineChars="200"/>
        <w:outlineLvl w:val="4"/>
        <w:rPr>
          <w:rFonts w:ascii="方正仿宋简体" w:hAnsi="方正仿宋简体" w:eastAsia="方正仿宋简体" w:cs="方正仿宋简体"/>
          <w:bCs/>
          <w:sz w:val="24"/>
        </w:rPr>
      </w:pPr>
      <w:r>
        <w:rPr>
          <w:rFonts w:hint="eastAsia" w:ascii="方正仿宋简体" w:hAnsi="方正仿宋简体" w:eastAsia="方正仿宋简体" w:cs="方正仿宋简体"/>
          <w:bCs/>
          <w:sz w:val="24"/>
        </w:rPr>
        <w:t>b）道德行为</w:t>
      </w:r>
    </w:p>
    <w:p w14:paraId="0ED424CC">
      <w:pPr>
        <w:adjustRightInd w:val="0"/>
        <w:snapToGrid w:val="0"/>
        <w:spacing w:line="300" w:lineRule="auto"/>
        <w:ind w:firstLine="480" w:firstLineChars="200"/>
        <w:jc w:val="left"/>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弗尔德要求全体员工始终围绕诚信为本，遵守法律法规、合同条约与道德规范，以守约、敬业、诚信回报于社会。弗尔德重视信用体系的建立，建立企业信用管理体系，主要由信用管理决策机构、信用管理专业部门、相关业务部门组成。</w:t>
      </w:r>
    </w:p>
    <w:p w14:paraId="080C0E54">
      <w:pPr>
        <w:adjustRightInd w:val="0"/>
        <w:snapToGrid w:val="0"/>
        <w:spacing w:line="300" w:lineRule="auto"/>
        <w:ind w:firstLine="480" w:firstLineChars="200"/>
        <w:jc w:val="left"/>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信用管理决策机构：审查批准企业的信用政策和风险管理策略，审批高风险的大额交易事项，审批处理重要信用风险事项的处理方案等。</w:t>
      </w:r>
    </w:p>
    <w:p w14:paraId="36D6268E">
      <w:pPr>
        <w:adjustRightInd w:val="0"/>
        <w:snapToGrid w:val="0"/>
        <w:spacing w:line="300" w:lineRule="auto"/>
        <w:ind w:firstLine="480" w:firstLineChars="200"/>
        <w:jc w:val="left"/>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信用管理专业部门：负责客户资信的调查、分析、评估，建立和管理客户信用档案；负责建立、管理企业的信用管理信息系统；制定企业的信用政策；审查业务部门与客户签订的合约；监督业务部门的操作流程；对应收账款进行跟踪监控和追收等。</w:t>
      </w:r>
    </w:p>
    <w:p w14:paraId="3F27E440">
      <w:pPr>
        <w:adjustRightInd w:val="0"/>
        <w:snapToGrid w:val="0"/>
        <w:spacing w:line="300" w:lineRule="auto"/>
        <w:ind w:firstLine="480" w:firstLineChars="200"/>
        <w:jc w:val="left"/>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相关业务部门：各职能部门是企业信用风险管理组织体系的重要组成部分，在日常工作中，不仅要认真执行企业的信用风险管理和各项规定，还必须积极配合、支持信用管理部门的工作，及时、主动地向信用管理部门报告、反馈有关信息。</w:t>
      </w:r>
    </w:p>
    <w:p w14:paraId="5457802E">
      <w:pPr>
        <w:adjustRightInd w:val="0"/>
        <w:snapToGrid w:val="0"/>
        <w:spacing w:line="300" w:lineRule="auto"/>
        <w:jc w:val="center"/>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道德行为监测体系的关键过程及绩效指标</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418"/>
        <w:gridCol w:w="1275"/>
        <w:gridCol w:w="3828"/>
        <w:gridCol w:w="1665"/>
      </w:tblGrid>
      <w:tr w14:paraId="704C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17" w:type="dxa"/>
            <w:shd w:val="clear" w:color="auto" w:fill="183883"/>
            <w:vAlign w:val="center"/>
          </w:tcPr>
          <w:p w14:paraId="47EF426B">
            <w:pPr>
              <w:adjustRightInd w:val="0"/>
              <w:snapToGrid w:val="0"/>
              <w:spacing w:line="300" w:lineRule="auto"/>
              <w:jc w:val="center"/>
              <w:rPr>
                <w:b/>
                <w:kern w:val="0"/>
                <w:sz w:val="24"/>
              </w:rPr>
            </w:pPr>
            <w:r>
              <w:rPr>
                <w:b/>
                <w:kern w:val="0"/>
                <w:sz w:val="24"/>
              </w:rPr>
              <w:t>类型</w:t>
            </w:r>
          </w:p>
        </w:tc>
        <w:tc>
          <w:tcPr>
            <w:tcW w:w="1418" w:type="dxa"/>
            <w:shd w:val="clear" w:color="auto" w:fill="183883"/>
            <w:vAlign w:val="center"/>
          </w:tcPr>
          <w:p w14:paraId="5C2A0FC6">
            <w:pPr>
              <w:adjustRightInd w:val="0"/>
              <w:snapToGrid w:val="0"/>
              <w:spacing w:line="300" w:lineRule="auto"/>
              <w:jc w:val="center"/>
              <w:rPr>
                <w:b/>
                <w:kern w:val="0"/>
                <w:sz w:val="24"/>
              </w:rPr>
            </w:pPr>
            <w:r>
              <w:rPr>
                <w:b/>
                <w:kern w:val="0"/>
                <w:sz w:val="24"/>
              </w:rPr>
              <w:t>监测对象</w:t>
            </w:r>
          </w:p>
        </w:tc>
        <w:tc>
          <w:tcPr>
            <w:tcW w:w="1275" w:type="dxa"/>
            <w:shd w:val="clear" w:color="auto" w:fill="183883"/>
            <w:vAlign w:val="center"/>
          </w:tcPr>
          <w:p w14:paraId="3841DB8D">
            <w:pPr>
              <w:adjustRightInd w:val="0"/>
              <w:snapToGrid w:val="0"/>
              <w:spacing w:line="300" w:lineRule="auto"/>
              <w:jc w:val="center"/>
              <w:rPr>
                <w:b/>
                <w:kern w:val="0"/>
                <w:sz w:val="24"/>
              </w:rPr>
            </w:pPr>
            <w:r>
              <w:rPr>
                <w:b/>
                <w:kern w:val="0"/>
                <w:sz w:val="24"/>
              </w:rPr>
              <w:t>监测部门</w:t>
            </w:r>
          </w:p>
        </w:tc>
        <w:tc>
          <w:tcPr>
            <w:tcW w:w="3828" w:type="dxa"/>
            <w:shd w:val="clear" w:color="auto" w:fill="183883"/>
            <w:vAlign w:val="center"/>
          </w:tcPr>
          <w:p w14:paraId="6BEBD855">
            <w:pPr>
              <w:adjustRightInd w:val="0"/>
              <w:snapToGrid w:val="0"/>
              <w:spacing w:line="300" w:lineRule="auto"/>
              <w:jc w:val="center"/>
              <w:rPr>
                <w:b/>
                <w:kern w:val="0"/>
                <w:sz w:val="24"/>
              </w:rPr>
            </w:pPr>
            <w:r>
              <w:rPr>
                <w:b/>
                <w:kern w:val="0"/>
                <w:sz w:val="24"/>
              </w:rPr>
              <w:t>测量方法与过程</w:t>
            </w:r>
          </w:p>
        </w:tc>
        <w:tc>
          <w:tcPr>
            <w:tcW w:w="1665" w:type="dxa"/>
            <w:shd w:val="clear" w:color="auto" w:fill="183883"/>
            <w:vAlign w:val="center"/>
          </w:tcPr>
          <w:p w14:paraId="6B44589C">
            <w:pPr>
              <w:adjustRightInd w:val="0"/>
              <w:snapToGrid w:val="0"/>
              <w:spacing w:line="300" w:lineRule="auto"/>
              <w:jc w:val="center"/>
              <w:rPr>
                <w:b/>
                <w:kern w:val="0"/>
                <w:sz w:val="24"/>
              </w:rPr>
            </w:pPr>
            <w:r>
              <w:rPr>
                <w:b/>
                <w:kern w:val="0"/>
                <w:sz w:val="24"/>
              </w:rPr>
              <w:t>测量指标</w:t>
            </w:r>
          </w:p>
        </w:tc>
      </w:tr>
      <w:tr w14:paraId="2EF7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19659FDB">
            <w:pPr>
              <w:adjustRightInd w:val="0"/>
              <w:snapToGrid w:val="0"/>
              <w:spacing w:line="300" w:lineRule="auto"/>
              <w:jc w:val="center"/>
              <w:rPr>
                <w:kern w:val="0"/>
                <w:sz w:val="24"/>
              </w:rPr>
            </w:pPr>
            <w:r>
              <w:rPr>
                <w:kern w:val="0"/>
                <w:sz w:val="24"/>
              </w:rPr>
              <w:t>企业内部</w:t>
            </w:r>
          </w:p>
        </w:tc>
        <w:tc>
          <w:tcPr>
            <w:tcW w:w="1418" w:type="dxa"/>
            <w:vAlign w:val="center"/>
          </w:tcPr>
          <w:p w14:paraId="658EE039">
            <w:pPr>
              <w:adjustRightInd w:val="0"/>
              <w:snapToGrid w:val="0"/>
              <w:spacing w:line="300" w:lineRule="auto"/>
              <w:jc w:val="center"/>
              <w:rPr>
                <w:kern w:val="0"/>
                <w:sz w:val="24"/>
              </w:rPr>
            </w:pPr>
            <w:r>
              <w:rPr>
                <w:kern w:val="0"/>
                <w:sz w:val="24"/>
              </w:rPr>
              <w:t>高层领导</w:t>
            </w:r>
          </w:p>
        </w:tc>
        <w:tc>
          <w:tcPr>
            <w:tcW w:w="1275" w:type="dxa"/>
            <w:vAlign w:val="center"/>
          </w:tcPr>
          <w:p w14:paraId="087F34A8">
            <w:pPr>
              <w:adjustRightInd w:val="0"/>
              <w:snapToGrid w:val="0"/>
              <w:spacing w:line="300" w:lineRule="auto"/>
              <w:jc w:val="center"/>
              <w:rPr>
                <w:kern w:val="0"/>
                <w:sz w:val="24"/>
              </w:rPr>
            </w:pPr>
            <w:r>
              <w:rPr>
                <w:kern w:val="0"/>
                <w:sz w:val="24"/>
              </w:rPr>
              <w:t>股东会</w:t>
            </w:r>
          </w:p>
          <w:p w14:paraId="0FC93BF8">
            <w:pPr>
              <w:adjustRightInd w:val="0"/>
              <w:snapToGrid w:val="0"/>
              <w:spacing w:line="300" w:lineRule="auto"/>
              <w:jc w:val="center"/>
              <w:rPr>
                <w:kern w:val="0"/>
                <w:sz w:val="24"/>
              </w:rPr>
            </w:pPr>
            <w:r>
              <w:rPr>
                <w:kern w:val="0"/>
                <w:sz w:val="24"/>
              </w:rPr>
              <w:t>董事会</w:t>
            </w:r>
          </w:p>
        </w:tc>
        <w:tc>
          <w:tcPr>
            <w:tcW w:w="3828" w:type="dxa"/>
            <w:vAlign w:val="center"/>
          </w:tcPr>
          <w:p w14:paraId="61F0FC4A">
            <w:pPr>
              <w:adjustRightInd w:val="0"/>
              <w:snapToGrid w:val="0"/>
              <w:spacing w:line="300" w:lineRule="auto"/>
              <w:rPr>
                <w:kern w:val="0"/>
                <w:sz w:val="24"/>
              </w:rPr>
            </w:pPr>
            <w:r>
              <w:rPr>
                <w:kern w:val="0"/>
                <w:sz w:val="24"/>
              </w:rPr>
              <w:t>股东大会审核公司销售、财务，遵纪守法，信息真实，以《公司法》为准绳，合法经营</w:t>
            </w:r>
          </w:p>
        </w:tc>
        <w:tc>
          <w:tcPr>
            <w:tcW w:w="1665" w:type="dxa"/>
            <w:vAlign w:val="center"/>
          </w:tcPr>
          <w:p w14:paraId="09876F65">
            <w:pPr>
              <w:adjustRightInd w:val="0"/>
              <w:snapToGrid w:val="0"/>
              <w:spacing w:line="300" w:lineRule="auto"/>
              <w:jc w:val="center"/>
              <w:rPr>
                <w:kern w:val="0"/>
                <w:sz w:val="24"/>
              </w:rPr>
            </w:pPr>
            <w:r>
              <w:rPr>
                <w:kern w:val="0"/>
                <w:sz w:val="24"/>
              </w:rPr>
              <w:t>股东满意度</w:t>
            </w:r>
          </w:p>
          <w:p w14:paraId="251926AC">
            <w:pPr>
              <w:adjustRightInd w:val="0"/>
              <w:snapToGrid w:val="0"/>
              <w:spacing w:line="300" w:lineRule="auto"/>
              <w:jc w:val="center"/>
              <w:rPr>
                <w:kern w:val="0"/>
                <w:sz w:val="24"/>
              </w:rPr>
            </w:pPr>
            <w:r>
              <w:rPr>
                <w:kern w:val="0"/>
                <w:sz w:val="24"/>
              </w:rPr>
              <w:t>企业利润等</w:t>
            </w:r>
          </w:p>
        </w:tc>
      </w:tr>
      <w:tr w14:paraId="440B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1C3DDA33">
            <w:pPr>
              <w:adjustRightInd w:val="0"/>
              <w:snapToGrid w:val="0"/>
              <w:spacing w:line="300" w:lineRule="auto"/>
              <w:jc w:val="center"/>
              <w:rPr>
                <w:kern w:val="0"/>
                <w:sz w:val="24"/>
              </w:rPr>
            </w:pPr>
          </w:p>
        </w:tc>
        <w:tc>
          <w:tcPr>
            <w:tcW w:w="1418" w:type="dxa"/>
            <w:vAlign w:val="center"/>
          </w:tcPr>
          <w:p w14:paraId="39513673">
            <w:pPr>
              <w:adjustRightInd w:val="0"/>
              <w:snapToGrid w:val="0"/>
              <w:spacing w:line="300" w:lineRule="auto"/>
              <w:jc w:val="center"/>
              <w:rPr>
                <w:kern w:val="0"/>
                <w:sz w:val="24"/>
              </w:rPr>
            </w:pPr>
            <w:r>
              <w:rPr>
                <w:kern w:val="0"/>
                <w:sz w:val="24"/>
              </w:rPr>
              <w:t>中层干部及职能部门</w:t>
            </w:r>
          </w:p>
        </w:tc>
        <w:tc>
          <w:tcPr>
            <w:tcW w:w="1275" w:type="dxa"/>
            <w:vAlign w:val="center"/>
          </w:tcPr>
          <w:p w14:paraId="0CC45870">
            <w:pPr>
              <w:adjustRightInd w:val="0"/>
              <w:snapToGrid w:val="0"/>
              <w:spacing w:line="300" w:lineRule="auto"/>
              <w:jc w:val="center"/>
              <w:rPr>
                <w:kern w:val="0"/>
                <w:sz w:val="24"/>
              </w:rPr>
            </w:pPr>
            <w:r>
              <w:rPr>
                <w:kern w:val="0"/>
                <w:sz w:val="24"/>
              </w:rPr>
              <w:t>高层领导</w:t>
            </w:r>
          </w:p>
          <w:p w14:paraId="7728E348">
            <w:pPr>
              <w:adjustRightInd w:val="0"/>
              <w:snapToGrid w:val="0"/>
              <w:spacing w:line="300" w:lineRule="auto"/>
              <w:jc w:val="center"/>
              <w:rPr>
                <w:kern w:val="0"/>
                <w:sz w:val="24"/>
              </w:rPr>
            </w:pPr>
            <w:r>
              <w:rPr>
                <w:kern w:val="0"/>
                <w:sz w:val="24"/>
              </w:rPr>
              <w:t>工会</w:t>
            </w:r>
          </w:p>
        </w:tc>
        <w:tc>
          <w:tcPr>
            <w:tcW w:w="3828" w:type="dxa"/>
            <w:vAlign w:val="center"/>
          </w:tcPr>
          <w:p w14:paraId="26781B9E">
            <w:pPr>
              <w:adjustRightInd w:val="0"/>
              <w:snapToGrid w:val="0"/>
              <w:spacing w:line="300" w:lineRule="auto"/>
              <w:rPr>
                <w:kern w:val="0"/>
                <w:sz w:val="24"/>
              </w:rPr>
            </w:pPr>
            <w:r>
              <w:rPr>
                <w:kern w:val="0"/>
                <w:sz w:val="24"/>
              </w:rPr>
              <w:t>内部审计、意见箱投诉举报、中层干部培训、违法乱纪记录、安全生产监测</w:t>
            </w:r>
          </w:p>
        </w:tc>
        <w:tc>
          <w:tcPr>
            <w:tcW w:w="1665" w:type="dxa"/>
            <w:vAlign w:val="center"/>
          </w:tcPr>
          <w:p w14:paraId="1E625845">
            <w:pPr>
              <w:adjustRightInd w:val="0"/>
              <w:snapToGrid w:val="0"/>
              <w:spacing w:line="300" w:lineRule="auto"/>
              <w:jc w:val="center"/>
              <w:rPr>
                <w:kern w:val="0"/>
                <w:sz w:val="24"/>
              </w:rPr>
            </w:pPr>
            <w:r>
              <w:rPr>
                <w:kern w:val="0"/>
                <w:sz w:val="24"/>
              </w:rPr>
              <w:t>违法乱纪</w:t>
            </w:r>
          </w:p>
          <w:p w14:paraId="530CFE5A">
            <w:pPr>
              <w:adjustRightInd w:val="0"/>
              <w:snapToGrid w:val="0"/>
              <w:spacing w:line="300" w:lineRule="auto"/>
              <w:jc w:val="center"/>
              <w:rPr>
                <w:kern w:val="0"/>
                <w:sz w:val="24"/>
              </w:rPr>
            </w:pPr>
            <w:r>
              <w:rPr>
                <w:kern w:val="0"/>
                <w:sz w:val="24"/>
              </w:rPr>
              <w:t>道德水平</w:t>
            </w:r>
          </w:p>
          <w:p w14:paraId="2E4A4BA7">
            <w:pPr>
              <w:adjustRightInd w:val="0"/>
              <w:snapToGrid w:val="0"/>
              <w:spacing w:line="300" w:lineRule="auto"/>
              <w:jc w:val="center"/>
              <w:rPr>
                <w:kern w:val="0"/>
                <w:sz w:val="24"/>
              </w:rPr>
            </w:pPr>
            <w:r>
              <w:rPr>
                <w:kern w:val="0"/>
                <w:sz w:val="24"/>
              </w:rPr>
              <w:t>应急能力</w:t>
            </w:r>
          </w:p>
        </w:tc>
      </w:tr>
      <w:tr w14:paraId="45A9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B7A9841">
            <w:pPr>
              <w:adjustRightInd w:val="0"/>
              <w:snapToGrid w:val="0"/>
              <w:spacing w:line="300" w:lineRule="auto"/>
              <w:jc w:val="center"/>
              <w:rPr>
                <w:kern w:val="0"/>
                <w:sz w:val="24"/>
              </w:rPr>
            </w:pPr>
          </w:p>
        </w:tc>
        <w:tc>
          <w:tcPr>
            <w:tcW w:w="1418" w:type="dxa"/>
            <w:vAlign w:val="center"/>
          </w:tcPr>
          <w:p w14:paraId="2F74BA95">
            <w:pPr>
              <w:adjustRightInd w:val="0"/>
              <w:snapToGrid w:val="0"/>
              <w:spacing w:line="300" w:lineRule="auto"/>
              <w:jc w:val="center"/>
              <w:rPr>
                <w:kern w:val="0"/>
                <w:sz w:val="24"/>
              </w:rPr>
            </w:pPr>
            <w:r>
              <w:rPr>
                <w:kern w:val="0"/>
                <w:sz w:val="24"/>
              </w:rPr>
              <w:t>员工</w:t>
            </w:r>
          </w:p>
        </w:tc>
        <w:tc>
          <w:tcPr>
            <w:tcW w:w="1275" w:type="dxa"/>
            <w:vAlign w:val="center"/>
          </w:tcPr>
          <w:p w14:paraId="25AB9393">
            <w:pPr>
              <w:adjustRightInd w:val="0"/>
              <w:snapToGrid w:val="0"/>
              <w:spacing w:line="300" w:lineRule="auto"/>
              <w:jc w:val="center"/>
              <w:rPr>
                <w:kern w:val="0"/>
                <w:sz w:val="24"/>
              </w:rPr>
            </w:pPr>
            <w:r>
              <w:rPr>
                <w:kern w:val="0"/>
                <w:sz w:val="24"/>
              </w:rPr>
              <w:t>人事行政部</w:t>
            </w:r>
          </w:p>
        </w:tc>
        <w:tc>
          <w:tcPr>
            <w:tcW w:w="3828" w:type="dxa"/>
            <w:vAlign w:val="center"/>
          </w:tcPr>
          <w:p w14:paraId="655988A5">
            <w:pPr>
              <w:adjustRightInd w:val="0"/>
              <w:snapToGrid w:val="0"/>
              <w:spacing w:line="300" w:lineRule="auto"/>
              <w:rPr>
                <w:kern w:val="0"/>
                <w:sz w:val="24"/>
              </w:rPr>
            </w:pPr>
            <w:r>
              <w:rPr>
                <w:kern w:val="0"/>
                <w:sz w:val="24"/>
              </w:rPr>
              <w:t>科学地选拔领导与员工、积极开展培训、加强道德培训、制定《员工手册》和《企业哲学手册》、企业文化培训、开展评优活动等</w:t>
            </w:r>
          </w:p>
        </w:tc>
        <w:tc>
          <w:tcPr>
            <w:tcW w:w="1665" w:type="dxa"/>
            <w:vAlign w:val="center"/>
          </w:tcPr>
          <w:p w14:paraId="657BD31A">
            <w:pPr>
              <w:adjustRightInd w:val="0"/>
              <w:snapToGrid w:val="0"/>
              <w:spacing w:line="300" w:lineRule="auto"/>
              <w:jc w:val="center"/>
              <w:rPr>
                <w:kern w:val="0"/>
                <w:sz w:val="24"/>
              </w:rPr>
            </w:pPr>
            <w:r>
              <w:rPr>
                <w:kern w:val="0"/>
                <w:sz w:val="24"/>
              </w:rPr>
              <w:t>员工满意度</w:t>
            </w:r>
          </w:p>
          <w:p w14:paraId="3AB747D1">
            <w:pPr>
              <w:adjustRightInd w:val="0"/>
              <w:snapToGrid w:val="0"/>
              <w:spacing w:line="300" w:lineRule="auto"/>
              <w:jc w:val="center"/>
              <w:rPr>
                <w:kern w:val="0"/>
                <w:sz w:val="24"/>
              </w:rPr>
            </w:pPr>
            <w:r>
              <w:rPr>
                <w:kern w:val="0"/>
                <w:sz w:val="24"/>
              </w:rPr>
              <w:t>培训人次</w:t>
            </w:r>
          </w:p>
        </w:tc>
      </w:tr>
      <w:tr w14:paraId="4579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5CF1894">
            <w:pPr>
              <w:adjustRightInd w:val="0"/>
              <w:snapToGrid w:val="0"/>
              <w:spacing w:line="300" w:lineRule="auto"/>
              <w:jc w:val="center"/>
              <w:rPr>
                <w:kern w:val="0"/>
                <w:sz w:val="24"/>
              </w:rPr>
            </w:pPr>
            <w:r>
              <w:rPr>
                <w:kern w:val="0"/>
                <w:sz w:val="24"/>
              </w:rPr>
              <w:t>企业之间</w:t>
            </w:r>
          </w:p>
        </w:tc>
        <w:tc>
          <w:tcPr>
            <w:tcW w:w="1418" w:type="dxa"/>
            <w:vAlign w:val="center"/>
          </w:tcPr>
          <w:p w14:paraId="6560263C">
            <w:pPr>
              <w:adjustRightInd w:val="0"/>
              <w:snapToGrid w:val="0"/>
              <w:spacing w:line="300" w:lineRule="auto"/>
              <w:jc w:val="center"/>
              <w:rPr>
                <w:kern w:val="0"/>
                <w:sz w:val="24"/>
              </w:rPr>
            </w:pPr>
            <w:r>
              <w:rPr>
                <w:kern w:val="0"/>
                <w:sz w:val="24"/>
              </w:rPr>
              <w:t>供应商</w:t>
            </w:r>
          </w:p>
          <w:p w14:paraId="2F605442">
            <w:pPr>
              <w:adjustRightInd w:val="0"/>
              <w:snapToGrid w:val="0"/>
              <w:spacing w:line="300" w:lineRule="auto"/>
              <w:jc w:val="center"/>
              <w:rPr>
                <w:kern w:val="0"/>
                <w:sz w:val="24"/>
              </w:rPr>
            </w:pPr>
            <w:r>
              <w:rPr>
                <w:kern w:val="0"/>
                <w:sz w:val="24"/>
              </w:rPr>
              <w:t>顾客</w:t>
            </w:r>
          </w:p>
        </w:tc>
        <w:tc>
          <w:tcPr>
            <w:tcW w:w="1275" w:type="dxa"/>
            <w:vAlign w:val="center"/>
          </w:tcPr>
          <w:p w14:paraId="2E34F195">
            <w:pPr>
              <w:adjustRightInd w:val="0"/>
              <w:snapToGrid w:val="0"/>
              <w:spacing w:line="300" w:lineRule="auto"/>
              <w:jc w:val="center"/>
              <w:rPr>
                <w:kern w:val="0"/>
                <w:sz w:val="24"/>
              </w:rPr>
            </w:pPr>
            <w:r>
              <w:rPr>
                <w:kern w:val="0"/>
                <w:sz w:val="24"/>
              </w:rPr>
              <w:t>部门的销售部门、采购部和安全质量管理部</w:t>
            </w:r>
          </w:p>
        </w:tc>
        <w:tc>
          <w:tcPr>
            <w:tcW w:w="3828" w:type="dxa"/>
            <w:vAlign w:val="center"/>
          </w:tcPr>
          <w:p w14:paraId="2BFCB10F">
            <w:pPr>
              <w:adjustRightInd w:val="0"/>
              <w:snapToGrid w:val="0"/>
              <w:spacing w:line="300" w:lineRule="auto"/>
              <w:rPr>
                <w:kern w:val="0"/>
                <w:sz w:val="24"/>
              </w:rPr>
            </w:pPr>
            <w:r>
              <w:rPr>
                <w:kern w:val="0"/>
                <w:sz w:val="24"/>
              </w:rPr>
              <w:t>规定公司的质量方针、质量保证、服务承诺；严格按照《合同法》等保护相关方利益；价格适中、交货准时、 产品质量稳定、及时交付；加强产品质量控制，提高优质产品，及时应对顾客投诉等；在采购上实行公开、公平、公正的“阳光采购”制度</w:t>
            </w:r>
          </w:p>
        </w:tc>
        <w:tc>
          <w:tcPr>
            <w:tcW w:w="1665" w:type="dxa"/>
            <w:vAlign w:val="center"/>
          </w:tcPr>
          <w:p w14:paraId="6C868766">
            <w:pPr>
              <w:adjustRightInd w:val="0"/>
              <w:snapToGrid w:val="0"/>
              <w:spacing w:line="300" w:lineRule="auto"/>
              <w:jc w:val="center"/>
              <w:rPr>
                <w:kern w:val="0"/>
                <w:sz w:val="24"/>
              </w:rPr>
            </w:pPr>
            <w:r>
              <w:rPr>
                <w:kern w:val="0"/>
                <w:sz w:val="24"/>
              </w:rPr>
              <w:t>合同违约率</w:t>
            </w:r>
          </w:p>
          <w:p w14:paraId="4D419377">
            <w:pPr>
              <w:adjustRightInd w:val="0"/>
              <w:snapToGrid w:val="0"/>
              <w:spacing w:line="300" w:lineRule="auto"/>
              <w:jc w:val="center"/>
              <w:rPr>
                <w:kern w:val="0"/>
                <w:sz w:val="24"/>
              </w:rPr>
            </w:pPr>
            <w:r>
              <w:rPr>
                <w:kern w:val="0"/>
                <w:sz w:val="24"/>
              </w:rPr>
              <w:t>索赔金额</w:t>
            </w:r>
          </w:p>
          <w:p w14:paraId="2C598055">
            <w:pPr>
              <w:adjustRightInd w:val="0"/>
              <w:snapToGrid w:val="0"/>
              <w:spacing w:line="300" w:lineRule="auto"/>
              <w:jc w:val="center"/>
              <w:rPr>
                <w:kern w:val="0"/>
                <w:sz w:val="24"/>
              </w:rPr>
            </w:pPr>
            <w:r>
              <w:rPr>
                <w:kern w:val="0"/>
                <w:sz w:val="24"/>
              </w:rPr>
              <w:t>顾客满意度</w:t>
            </w:r>
          </w:p>
        </w:tc>
      </w:tr>
      <w:tr w14:paraId="14DE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3533BF20">
            <w:pPr>
              <w:adjustRightInd w:val="0"/>
              <w:snapToGrid w:val="0"/>
              <w:spacing w:line="300" w:lineRule="auto"/>
              <w:jc w:val="center"/>
              <w:rPr>
                <w:kern w:val="0"/>
                <w:sz w:val="24"/>
              </w:rPr>
            </w:pPr>
            <w:r>
              <w:rPr>
                <w:kern w:val="0"/>
                <w:sz w:val="24"/>
              </w:rPr>
              <w:t>企业外部</w:t>
            </w:r>
          </w:p>
        </w:tc>
        <w:tc>
          <w:tcPr>
            <w:tcW w:w="1418" w:type="dxa"/>
            <w:vAlign w:val="center"/>
          </w:tcPr>
          <w:p w14:paraId="085C4C82">
            <w:pPr>
              <w:adjustRightInd w:val="0"/>
              <w:snapToGrid w:val="0"/>
              <w:spacing w:line="300" w:lineRule="auto"/>
              <w:jc w:val="center"/>
              <w:rPr>
                <w:kern w:val="0"/>
                <w:sz w:val="24"/>
              </w:rPr>
            </w:pPr>
            <w:r>
              <w:rPr>
                <w:kern w:val="0"/>
                <w:sz w:val="24"/>
              </w:rPr>
              <w:t>政府</w:t>
            </w:r>
          </w:p>
        </w:tc>
        <w:tc>
          <w:tcPr>
            <w:tcW w:w="1275" w:type="dxa"/>
            <w:vMerge w:val="restart"/>
            <w:vAlign w:val="center"/>
          </w:tcPr>
          <w:p w14:paraId="2A946437">
            <w:pPr>
              <w:adjustRightInd w:val="0"/>
              <w:snapToGrid w:val="0"/>
              <w:spacing w:line="300" w:lineRule="auto"/>
              <w:jc w:val="center"/>
              <w:rPr>
                <w:kern w:val="0"/>
                <w:sz w:val="24"/>
              </w:rPr>
            </w:pPr>
            <w:r>
              <w:rPr>
                <w:kern w:val="0"/>
                <w:sz w:val="24"/>
              </w:rPr>
              <w:t>部门的安全质量管理部</w:t>
            </w:r>
          </w:p>
          <w:p w14:paraId="14E41ABB">
            <w:pPr>
              <w:adjustRightInd w:val="0"/>
              <w:snapToGrid w:val="0"/>
              <w:spacing w:line="300" w:lineRule="auto"/>
              <w:jc w:val="center"/>
              <w:rPr>
                <w:kern w:val="0"/>
                <w:sz w:val="24"/>
              </w:rPr>
            </w:pPr>
            <w:r>
              <w:rPr>
                <w:kern w:val="0"/>
                <w:sz w:val="24"/>
              </w:rPr>
              <w:t>财务部</w:t>
            </w:r>
          </w:p>
        </w:tc>
        <w:tc>
          <w:tcPr>
            <w:tcW w:w="3828" w:type="dxa"/>
            <w:vAlign w:val="center"/>
          </w:tcPr>
          <w:p w14:paraId="06589630">
            <w:pPr>
              <w:adjustRightInd w:val="0"/>
              <w:snapToGrid w:val="0"/>
              <w:spacing w:line="300" w:lineRule="auto"/>
              <w:rPr>
                <w:kern w:val="0"/>
                <w:sz w:val="24"/>
              </w:rPr>
            </w:pPr>
            <w:r>
              <w:rPr>
                <w:kern w:val="0"/>
                <w:sz w:val="24"/>
              </w:rPr>
              <w:t>依法纳税、廉洁自律；严格按照国家的税法、会计法等法律法规进行操作；特种设备条例贯彻执行情况；国家各级技术监督部门监督及监测等</w:t>
            </w:r>
          </w:p>
        </w:tc>
        <w:tc>
          <w:tcPr>
            <w:tcW w:w="1665" w:type="dxa"/>
            <w:vAlign w:val="center"/>
          </w:tcPr>
          <w:p w14:paraId="474FD010">
            <w:pPr>
              <w:adjustRightInd w:val="0"/>
              <w:snapToGrid w:val="0"/>
              <w:spacing w:line="300" w:lineRule="auto"/>
              <w:jc w:val="center"/>
              <w:rPr>
                <w:kern w:val="0"/>
                <w:sz w:val="24"/>
              </w:rPr>
            </w:pPr>
            <w:r>
              <w:rPr>
                <w:kern w:val="0"/>
                <w:sz w:val="24"/>
              </w:rPr>
              <w:t>纳税金额等</w:t>
            </w:r>
          </w:p>
        </w:tc>
      </w:tr>
      <w:tr w14:paraId="514E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74A4309D">
            <w:pPr>
              <w:adjustRightInd w:val="0"/>
              <w:snapToGrid w:val="0"/>
              <w:spacing w:line="300" w:lineRule="auto"/>
              <w:jc w:val="center"/>
              <w:rPr>
                <w:kern w:val="0"/>
                <w:sz w:val="24"/>
              </w:rPr>
            </w:pPr>
          </w:p>
        </w:tc>
        <w:tc>
          <w:tcPr>
            <w:tcW w:w="1418" w:type="dxa"/>
            <w:vAlign w:val="center"/>
          </w:tcPr>
          <w:p w14:paraId="141D6005">
            <w:pPr>
              <w:adjustRightInd w:val="0"/>
              <w:snapToGrid w:val="0"/>
              <w:spacing w:line="300" w:lineRule="auto"/>
              <w:jc w:val="center"/>
              <w:rPr>
                <w:kern w:val="0"/>
                <w:sz w:val="24"/>
              </w:rPr>
            </w:pPr>
            <w:r>
              <w:rPr>
                <w:kern w:val="0"/>
                <w:sz w:val="24"/>
              </w:rPr>
              <w:t>银行</w:t>
            </w:r>
          </w:p>
        </w:tc>
        <w:tc>
          <w:tcPr>
            <w:tcW w:w="1275" w:type="dxa"/>
            <w:vMerge w:val="continue"/>
            <w:vAlign w:val="center"/>
          </w:tcPr>
          <w:p w14:paraId="1100BF23">
            <w:pPr>
              <w:adjustRightInd w:val="0"/>
              <w:snapToGrid w:val="0"/>
              <w:spacing w:line="300" w:lineRule="auto"/>
              <w:jc w:val="center"/>
              <w:rPr>
                <w:kern w:val="0"/>
                <w:sz w:val="24"/>
              </w:rPr>
            </w:pPr>
          </w:p>
        </w:tc>
        <w:tc>
          <w:tcPr>
            <w:tcW w:w="3828" w:type="dxa"/>
            <w:vAlign w:val="center"/>
          </w:tcPr>
          <w:p w14:paraId="16A21C06">
            <w:pPr>
              <w:adjustRightInd w:val="0"/>
              <w:snapToGrid w:val="0"/>
              <w:spacing w:line="300" w:lineRule="auto"/>
              <w:rPr>
                <w:kern w:val="0"/>
                <w:sz w:val="24"/>
              </w:rPr>
            </w:pPr>
            <w:r>
              <w:rPr>
                <w:kern w:val="0"/>
                <w:sz w:val="24"/>
              </w:rPr>
              <w:t>内部及外来会计事务所审计</w:t>
            </w:r>
          </w:p>
        </w:tc>
        <w:tc>
          <w:tcPr>
            <w:tcW w:w="1665" w:type="dxa"/>
            <w:vAlign w:val="center"/>
          </w:tcPr>
          <w:p w14:paraId="293F7026">
            <w:pPr>
              <w:adjustRightInd w:val="0"/>
              <w:snapToGrid w:val="0"/>
              <w:spacing w:line="300" w:lineRule="auto"/>
              <w:jc w:val="center"/>
              <w:rPr>
                <w:kern w:val="0"/>
                <w:sz w:val="24"/>
              </w:rPr>
            </w:pPr>
            <w:r>
              <w:rPr>
                <w:kern w:val="0"/>
                <w:sz w:val="24"/>
              </w:rPr>
              <w:t>报表的准确度</w:t>
            </w:r>
          </w:p>
        </w:tc>
      </w:tr>
      <w:tr w14:paraId="2DB2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07BF12D8">
            <w:pPr>
              <w:adjustRightInd w:val="0"/>
              <w:snapToGrid w:val="0"/>
              <w:spacing w:line="300" w:lineRule="auto"/>
              <w:jc w:val="center"/>
              <w:rPr>
                <w:kern w:val="0"/>
                <w:sz w:val="24"/>
              </w:rPr>
            </w:pPr>
          </w:p>
        </w:tc>
        <w:tc>
          <w:tcPr>
            <w:tcW w:w="1418" w:type="dxa"/>
            <w:vAlign w:val="center"/>
          </w:tcPr>
          <w:p w14:paraId="57B496BE">
            <w:pPr>
              <w:adjustRightInd w:val="0"/>
              <w:snapToGrid w:val="0"/>
              <w:spacing w:line="300" w:lineRule="auto"/>
              <w:jc w:val="center"/>
              <w:rPr>
                <w:kern w:val="0"/>
                <w:sz w:val="24"/>
              </w:rPr>
            </w:pPr>
            <w:r>
              <w:rPr>
                <w:kern w:val="0"/>
                <w:sz w:val="24"/>
              </w:rPr>
              <w:t>社会公众</w:t>
            </w:r>
          </w:p>
        </w:tc>
        <w:tc>
          <w:tcPr>
            <w:tcW w:w="1275" w:type="dxa"/>
            <w:vMerge w:val="continue"/>
            <w:vAlign w:val="center"/>
          </w:tcPr>
          <w:p w14:paraId="4F601C07">
            <w:pPr>
              <w:adjustRightInd w:val="0"/>
              <w:snapToGrid w:val="0"/>
              <w:spacing w:line="300" w:lineRule="auto"/>
              <w:jc w:val="center"/>
              <w:rPr>
                <w:kern w:val="0"/>
                <w:sz w:val="24"/>
              </w:rPr>
            </w:pPr>
          </w:p>
        </w:tc>
        <w:tc>
          <w:tcPr>
            <w:tcW w:w="3828" w:type="dxa"/>
            <w:vAlign w:val="center"/>
          </w:tcPr>
          <w:p w14:paraId="52C6255F">
            <w:pPr>
              <w:adjustRightInd w:val="0"/>
              <w:snapToGrid w:val="0"/>
              <w:spacing w:line="300" w:lineRule="auto"/>
              <w:rPr>
                <w:kern w:val="0"/>
                <w:sz w:val="24"/>
              </w:rPr>
            </w:pPr>
            <w:r>
              <w:rPr>
                <w:kern w:val="0"/>
                <w:sz w:val="24"/>
              </w:rPr>
              <w:t>诚信经营、保护公众利益；开展清洁生产，保护环境；参与公益事业</w:t>
            </w:r>
          </w:p>
        </w:tc>
        <w:tc>
          <w:tcPr>
            <w:tcW w:w="1665" w:type="dxa"/>
            <w:vAlign w:val="center"/>
          </w:tcPr>
          <w:p w14:paraId="3C2C683B">
            <w:pPr>
              <w:adjustRightInd w:val="0"/>
              <w:snapToGrid w:val="0"/>
              <w:spacing w:line="300" w:lineRule="auto"/>
              <w:jc w:val="center"/>
              <w:rPr>
                <w:kern w:val="0"/>
                <w:sz w:val="24"/>
              </w:rPr>
            </w:pPr>
            <w:r>
              <w:rPr>
                <w:kern w:val="0"/>
                <w:sz w:val="24"/>
              </w:rPr>
              <w:t>捐赠金额</w:t>
            </w:r>
          </w:p>
        </w:tc>
      </w:tr>
    </w:tbl>
    <w:p w14:paraId="6C4385FE">
      <w:pPr>
        <w:adjustRightInd w:val="0"/>
        <w:snapToGrid w:val="0"/>
        <w:spacing w:line="300" w:lineRule="auto"/>
        <w:ind w:firstLine="480" w:firstLineChars="200"/>
        <w:outlineLvl w:val="4"/>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c）公益支持</w:t>
      </w:r>
    </w:p>
    <w:p w14:paraId="421D2107">
      <w:pPr>
        <w:adjustRightInd w:val="0"/>
        <w:snapToGrid w:val="0"/>
        <w:spacing w:line="300" w:lineRule="auto"/>
        <w:ind w:firstLine="480" w:firstLineChars="200"/>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得诸社会、还诸社会”是公司所在地南浔商人数百年来形成的经商传统和儒商精神。公司成立以来积极履行社会责任，做好企业公民。公司发挥建设和谐社会中的促进作用，有效保障利益相关方权益，持续提升员工满意度，积极支持以“教育事业、扶贫帮困”等为主要载体的社会公益事业，全面践行“社会贡献最大化”核心价值理念。通过领导者的卓越管理，让企业干部、员工体会到自身价值的存在感，获得物质和精神上的成功；通过全体员工的努力，让我们的客户、供应商体验到我们产品的品牌价值、企业的平台价值，获得合作和体验上的成功；通过企业、员工和客户三方的协同创新，让企业保持健康持续发展，不断为社会创造责任价值和经济价值，让社会各界感到满意，地方政府感到成就，人民生活感到便利，进而让全社会体会到成功！</w:t>
      </w:r>
    </w:p>
    <w:p w14:paraId="5FB9A98D">
      <w:pPr>
        <w:adjustRightInd w:val="0"/>
        <w:snapToGrid w:val="0"/>
        <w:spacing w:line="300" w:lineRule="auto"/>
        <w:outlineLvl w:val="3"/>
        <w:rPr>
          <w:rFonts w:ascii="方正仿宋简体" w:hAnsi="Calibri" w:eastAsia="方正仿宋简体" w:cs="宋体"/>
          <w:kern w:val="0"/>
          <w:sz w:val="24"/>
          <w:lang w:val="zh-CN"/>
        </w:rPr>
      </w:pPr>
      <w:r>
        <w:rPr>
          <w:rFonts w:hint="eastAsia" w:ascii="方正仿宋简体" w:hAnsi="Calibri" w:eastAsia="方正仿宋简体" w:cs="宋体"/>
          <w:kern w:val="0"/>
          <w:sz w:val="24"/>
          <w:lang w:val="zh-CN"/>
        </w:rPr>
        <w:t>2.5.4 信用记录</w:t>
      </w:r>
    </w:p>
    <w:p w14:paraId="52D92A97">
      <w:pPr>
        <w:adjustRightInd w:val="0"/>
        <w:snapToGrid w:val="0"/>
        <w:spacing w:line="300" w:lineRule="auto"/>
        <w:ind w:firstLine="480" w:firstLineChars="200"/>
        <w:jc w:val="left"/>
        <w:rPr>
          <w:rFonts w:ascii="方正仿宋简体" w:eastAsia="方正仿宋简体"/>
          <w:bCs/>
          <w:sz w:val="24"/>
        </w:rPr>
      </w:pPr>
      <w:r>
        <w:rPr>
          <w:rFonts w:hint="eastAsia" w:ascii="方正仿宋简体" w:eastAsia="方正仿宋简体"/>
          <w:bCs/>
          <w:sz w:val="24"/>
        </w:rPr>
        <w:t>公司具备优良资信，实行稳健的财务策略，充分利用自身资金优势，发挥财务杠杆效应。公司每年四季度编制下一年度的资金需求计划，及时向金融机构申报信用额度，各金融机构给予的综合授信额逐年上升。</w:t>
      </w:r>
    </w:p>
    <w:p w14:paraId="5022E310">
      <w:pPr>
        <w:adjustRightInd w:val="0"/>
        <w:snapToGrid w:val="0"/>
        <w:spacing w:line="300" w:lineRule="auto"/>
        <w:ind w:firstLine="480" w:firstLineChars="200"/>
        <w:jc w:val="left"/>
        <w:rPr>
          <w:rFonts w:ascii="方正楷体简体" w:eastAsia="方正楷体简体"/>
          <w:sz w:val="24"/>
        </w:rPr>
        <w:sectPr>
          <w:pgSz w:w="11906" w:h="16838"/>
          <w:pgMar w:top="1985" w:right="1361" w:bottom="1361" w:left="1588" w:header="851" w:footer="1417" w:gutter="0"/>
          <w:pgNumType w:fmt="numberInDash"/>
          <w:cols w:space="425" w:num="1"/>
          <w:docGrid w:type="lines" w:linePitch="312" w:charSpace="0"/>
        </w:sectPr>
      </w:pPr>
      <w:r>
        <w:rPr>
          <w:rFonts w:ascii="方正仿宋简体" w:eastAsia="方正仿宋简体"/>
          <w:bCs/>
          <w:sz w:val="24"/>
        </w:rPr>
        <w:drawing>
          <wp:anchor distT="0" distB="0" distL="114300" distR="114300" simplePos="0" relativeHeight="251682816" behindDoc="0" locked="0" layoutInCell="1" allowOverlap="1">
            <wp:simplePos x="0" y="0"/>
            <wp:positionH relativeFrom="column">
              <wp:posOffset>80645</wp:posOffset>
            </wp:positionH>
            <wp:positionV relativeFrom="paragraph">
              <wp:posOffset>1170305</wp:posOffset>
            </wp:positionV>
            <wp:extent cx="2781300" cy="1897380"/>
            <wp:effectExtent l="0" t="0" r="635" b="7620"/>
            <wp:wrapNone/>
            <wp:docPr id="2" name="图片 2" descr="E:\新建文件夹 (3)\WeChat Files\I2707888\FileStorage\Temp\1709106222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新建文件夹 (3)\WeChat Files\I2707888\FileStorage\Temp\170910622255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80997" cy="1897380"/>
                    </a:xfrm>
                    <a:prstGeom prst="rect">
                      <a:avLst/>
                    </a:prstGeom>
                  </pic:spPr>
                </pic:pic>
              </a:graphicData>
            </a:graphic>
          </wp:anchor>
        </w:drawing>
      </w:r>
      <w:r>
        <w:rPr>
          <w:bCs/>
        </w:rPr>
        <w:drawing>
          <wp:anchor distT="0" distB="0" distL="114300" distR="114300" simplePos="0" relativeHeight="251681792" behindDoc="0" locked="0" layoutInCell="1" allowOverlap="1">
            <wp:simplePos x="0" y="0"/>
            <wp:positionH relativeFrom="column">
              <wp:posOffset>3177540</wp:posOffset>
            </wp:positionH>
            <wp:positionV relativeFrom="paragraph">
              <wp:posOffset>1171575</wp:posOffset>
            </wp:positionV>
            <wp:extent cx="2475230" cy="1843405"/>
            <wp:effectExtent l="0" t="0" r="1270" b="4445"/>
            <wp:wrapTopAndBottom/>
            <wp:docPr id="108" name="图片 108" descr="C:/Users/Uncle Wang/AppData/Local/Temp/picturecompress_20210908233429/output_4.jp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C:/Users/Uncle Wang/AppData/Local/Temp/picturecompress_20210908233429/output_4.jpgoutput_4"/>
                    <pic:cNvPicPr>
                      <a:picLocks noChangeAspect="1"/>
                    </pic:cNvPicPr>
                  </pic:nvPicPr>
                  <pic:blipFill>
                    <a:blip r:embed="rId12"/>
                    <a:srcRect l="12743" t="8706" r="9563" b="14159"/>
                    <a:stretch>
                      <a:fillRect/>
                    </a:stretch>
                  </pic:blipFill>
                  <pic:spPr>
                    <a:xfrm>
                      <a:off x="0" y="0"/>
                      <a:ext cx="2475230" cy="1843405"/>
                    </a:xfrm>
                    <a:prstGeom prst="rect">
                      <a:avLst/>
                    </a:prstGeom>
                  </pic:spPr>
                </pic:pic>
              </a:graphicData>
            </a:graphic>
          </wp:anchor>
        </w:drawing>
      </w:r>
      <w:r>
        <w:rPr>
          <w:rFonts w:hint="eastAsia" w:ascii="方正仿宋简体" w:eastAsia="方正仿宋简体"/>
          <w:bCs/>
          <w:sz w:val="24"/>
        </w:rPr>
        <w:t xml:space="preserve">公司取得银行信用AAA级证书，与中国银行、招商银行、湖州商业银行、南浔银行、中国工商银行、宁波银行等建立了长期合作关系。此外公司还获得 “湖州市统计诚信示范单位“、“中国制造网 </w:t>
      </w:r>
      <w:bookmarkStart w:id="98" w:name="_Toc408837550"/>
      <w:bookmarkStart w:id="99" w:name="_Toc498627600"/>
      <w:r>
        <w:rPr>
          <w:rFonts w:hint="eastAsia" w:ascii="方正仿宋简体" w:eastAsia="方正仿宋简体"/>
          <w:bCs/>
          <w:sz w:val="24"/>
        </w:rPr>
        <w:t>认证供应商”等荣誉</w:t>
      </w:r>
    </w:p>
    <w:bookmarkEnd w:id="98"/>
    <w:bookmarkEnd w:id="99"/>
    <w:p w14:paraId="068A20E6">
      <w:pPr>
        <w:rPr>
          <w:lang w:val="zh-CN"/>
        </w:rPr>
      </w:pPr>
    </w:p>
    <w:p w14:paraId="024F30D0">
      <w:pPr>
        <w:pStyle w:val="30"/>
        <w:adjustRightInd w:val="0"/>
        <w:snapToGrid w:val="0"/>
        <w:spacing w:before="312" w:beforeLines="100" w:after="312" w:afterLines="100" w:line="300" w:lineRule="auto"/>
        <w:jc w:val="center"/>
        <w:outlineLvl w:val="0"/>
        <w:rPr>
          <w:rFonts w:ascii="方正楷体简体" w:eastAsia="方正楷体简体"/>
          <w:sz w:val="32"/>
          <w:szCs w:val="32"/>
        </w:rPr>
      </w:pPr>
      <w:bookmarkStart w:id="100" w:name="_Toc17429"/>
      <w:r>
        <w:rPr>
          <w:rFonts w:hint="eastAsia" w:ascii="方正楷体简体" w:eastAsia="方正楷体简体"/>
          <w:sz w:val="32"/>
          <w:szCs w:val="32"/>
        </w:rPr>
        <w:t>第三部分 报告结语</w:t>
      </w:r>
      <w:bookmarkEnd w:id="100"/>
    </w:p>
    <w:p w14:paraId="0720DFE4">
      <w:pPr>
        <w:tabs>
          <w:tab w:val="left" w:pos="6466"/>
        </w:tabs>
        <w:ind w:firstLine="480" w:firstLineChars="200"/>
        <w:jc w:val="left"/>
        <w:rPr>
          <w:rFonts w:ascii="方正仿宋简体" w:hAnsi="方正仿宋简体" w:eastAsia="方正仿宋简体" w:cs="方正仿宋简体"/>
          <w:sz w:val="24"/>
          <w:szCs w:val="32"/>
          <w:lang w:val="zh-CN"/>
        </w:rPr>
      </w:pPr>
      <w:r>
        <w:rPr>
          <w:rFonts w:hint="eastAsia" w:ascii="方正仿宋简体" w:hAnsi="方正仿宋简体" w:eastAsia="方正仿宋简体" w:cs="方正仿宋简体"/>
          <w:sz w:val="24"/>
          <w:szCs w:val="32"/>
          <w:lang w:val="zh-CN"/>
        </w:rPr>
        <w:t>质量管理是企业的生命，信用是企业的根本，也是制约企业发展的根本因素之一，没有一劳永逸的质量，只有持续改进的质量管理系统，良好的信用需要卓越的质量支撑，需要优秀的服务维系，未来企业将以强烈的责任感和高度的使命感来扎实推进质量管理，稳固维护企业信用。</w:t>
      </w:r>
    </w:p>
    <w:p w14:paraId="72264350">
      <w:pPr>
        <w:tabs>
          <w:tab w:val="left" w:pos="6466"/>
        </w:tabs>
        <w:ind w:firstLine="480" w:firstLineChars="200"/>
        <w:jc w:val="left"/>
        <w:rPr>
          <w:rFonts w:ascii="方正仿宋简体" w:hAnsi="方正仿宋简体" w:eastAsia="方正仿宋简体" w:cs="方正仿宋简体"/>
          <w:sz w:val="24"/>
          <w:szCs w:val="32"/>
          <w:lang w:val="zh-CN"/>
        </w:rPr>
      </w:pPr>
      <w:r>
        <w:rPr>
          <w:rFonts w:hint="eastAsia" w:ascii="方正仿宋简体" w:hAnsi="方正仿宋简体" w:eastAsia="方正仿宋简体" w:cs="方正仿宋简体"/>
          <w:sz w:val="24"/>
          <w:szCs w:val="32"/>
          <w:lang w:val="zh-CN"/>
        </w:rPr>
        <w:t>公司坚持“持续改进质量管理体系”，不断提高生产率、提高顾客满意率。本公司承诺生产的产品符合法规、行业标准； 并不断地满足顾客需求，加快迈向国际化的步伐，打造全</w:t>
      </w:r>
      <w:r>
        <w:rPr>
          <w:rFonts w:hint="eastAsia" w:ascii="方正仿宋简体" w:hAnsi="方正仿宋简体" w:eastAsia="方正仿宋简体" w:cs="方正仿宋简体"/>
          <w:sz w:val="24"/>
          <w:szCs w:val="32"/>
        </w:rPr>
        <w:t>国</w:t>
      </w:r>
      <w:r>
        <w:rPr>
          <w:rFonts w:hint="eastAsia" w:ascii="方正仿宋简体" w:hAnsi="方正仿宋简体" w:eastAsia="方正仿宋简体" w:cs="方正仿宋简体"/>
          <w:sz w:val="24"/>
          <w:szCs w:val="32"/>
          <w:lang w:val="zh-CN"/>
        </w:rPr>
        <w:t>领先。</w:t>
      </w:r>
    </w:p>
    <w:sectPr>
      <w:pgSz w:w="11906" w:h="16838"/>
      <w:pgMar w:top="1985" w:right="1361" w:bottom="1361" w:left="1588" w:header="851" w:footer="141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方正仿宋简体">
    <w:altName w:val="微软雅黑"/>
    <w:panose1 w:val="00000000000000000000"/>
    <w:charset w:val="86"/>
    <w:family w:val="script"/>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font>
  <w:font w:name="方正楷体简体">
    <w:altName w:val="微软雅黑"/>
    <w:panose1 w:val="00000000000000000000"/>
    <w:charset w:val="86"/>
    <w:family w:val="script"/>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22F9A">
    <w:pPr>
      <w:pStyle w:val="12"/>
      <w:jc w:val="right"/>
      <w:rPr>
        <w:rFonts w:ascii="方正仿宋简体" w:eastAsia="方正仿宋简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61723"/>
                          </w:sdtPr>
                          <w:sdtEndPr>
                            <w:rPr>
                              <w:rFonts w:hint="eastAsia" w:ascii="方正仿宋简体" w:eastAsia="方正仿宋简体"/>
                              <w:sz w:val="24"/>
                              <w:szCs w:val="24"/>
                            </w:rPr>
                          </w:sdtEndPr>
                          <w:sdtContent>
                            <w:p w14:paraId="50A6058E">
                              <w:pPr>
                                <w:pStyle w:val="12"/>
                                <w:jc w:val="right"/>
                                <w:rPr>
                                  <w:rFonts w:ascii="方正仿宋简体" w:eastAsia="方正仿宋简体"/>
                                  <w:sz w:val="24"/>
                                  <w:szCs w:val="24"/>
                                </w:rPr>
                              </w:pPr>
                              <w:r>
                                <w:rPr>
                                  <w:rFonts w:hint="eastAsia" w:ascii="方正仿宋简体" w:eastAsia="方正仿宋简体"/>
                                  <w:sz w:val="24"/>
                                  <w:szCs w:val="24"/>
                                </w:rPr>
                                <w:fldChar w:fldCharType="begin"/>
                              </w:r>
                              <w:r>
                                <w:rPr>
                                  <w:rFonts w:hint="eastAsia" w:ascii="方正仿宋简体" w:eastAsia="方正仿宋简体"/>
                                  <w:sz w:val="24"/>
                                  <w:szCs w:val="24"/>
                                </w:rPr>
                                <w:instrText xml:space="preserve">PAGE   \* MERGEFORMAT</w:instrText>
                              </w:r>
                              <w:r>
                                <w:rPr>
                                  <w:rFonts w:hint="eastAsia" w:ascii="方正仿宋简体" w:eastAsia="方正仿宋简体"/>
                                  <w:sz w:val="24"/>
                                  <w:szCs w:val="24"/>
                                </w:rPr>
                                <w:fldChar w:fldCharType="separate"/>
                              </w:r>
                              <w:r>
                                <w:rPr>
                                  <w:rFonts w:ascii="方正仿宋简体" w:eastAsia="方正仿宋简体"/>
                                  <w:sz w:val="24"/>
                                  <w:szCs w:val="24"/>
                                  <w:lang w:val="zh-CN"/>
                                </w:rPr>
                                <w:t>-</w:t>
                              </w:r>
                              <w:r>
                                <w:rPr>
                                  <w:rFonts w:ascii="方正仿宋简体" w:eastAsia="方正仿宋简体"/>
                                  <w:sz w:val="24"/>
                                  <w:szCs w:val="24"/>
                                </w:rPr>
                                <w:t xml:space="preserve"> 23 -</w:t>
                              </w:r>
                              <w:r>
                                <w:rPr>
                                  <w:rFonts w:hint="eastAsia" w:ascii="方正仿宋简体" w:eastAsia="方正仿宋简体"/>
                                  <w:sz w:val="24"/>
                                  <w:szCs w:val="24"/>
                                </w:rPr>
                                <w:fldChar w:fldCharType="end"/>
                              </w:r>
                            </w:p>
                          </w:sdtContent>
                        </w:sdt>
                        <w:p w14:paraId="0EEFC47F">
                          <w:pPr>
                            <w:rPr>
                              <w:rFonts w:ascii="方正仿宋简体" w:eastAsia="方正仿宋简体"/>
                              <w:sz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361723"/>
                    </w:sdtPr>
                    <w:sdtEndPr>
                      <w:rPr>
                        <w:rFonts w:hint="eastAsia" w:ascii="方正仿宋简体" w:eastAsia="方正仿宋简体"/>
                        <w:sz w:val="24"/>
                        <w:szCs w:val="24"/>
                      </w:rPr>
                    </w:sdtEndPr>
                    <w:sdtContent>
                      <w:p w14:paraId="50A6058E">
                        <w:pPr>
                          <w:pStyle w:val="12"/>
                          <w:jc w:val="right"/>
                          <w:rPr>
                            <w:rFonts w:ascii="方正仿宋简体" w:eastAsia="方正仿宋简体"/>
                            <w:sz w:val="24"/>
                            <w:szCs w:val="24"/>
                          </w:rPr>
                        </w:pPr>
                        <w:r>
                          <w:rPr>
                            <w:rFonts w:hint="eastAsia" w:ascii="方正仿宋简体" w:eastAsia="方正仿宋简体"/>
                            <w:sz w:val="24"/>
                            <w:szCs w:val="24"/>
                          </w:rPr>
                          <w:fldChar w:fldCharType="begin"/>
                        </w:r>
                        <w:r>
                          <w:rPr>
                            <w:rFonts w:hint="eastAsia" w:ascii="方正仿宋简体" w:eastAsia="方正仿宋简体"/>
                            <w:sz w:val="24"/>
                            <w:szCs w:val="24"/>
                          </w:rPr>
                          <w:instrText xml:space="preserve">PAGE   \* MERGEFORMAT</w:instrText>
                        </w:r>
                        <w:r>
                          <w:rPr>
                            <w:rFonts w:hint="eastAsia" w:ascii="方正仿宋简体" w:eastAsia="方正仿宋简体"/>
                            <w:sz w:val="24"/>
                            <w:szCs w:val="24"/>
                          </w:rPr>
                          <w:fldChar w:fldCharType="separate"/>
                        </w:r>
                        <w:r>
                          <w:rPr>
                            <w:rFonts w:ascii="方正仿宋简体" w:eastAsia="方正仿宋简体"/>
                            <w:sz w:val="24"/>
                            <w:szCs w:val="24"/>
                            <w:lang w:val="zh-CN"/>
                          </w:rPr>
                          <w:t>-</w:t>
                        </w:r>
                        <w:r>
                          <w:rPr>
                            <w:rFonts w:ascii="方正仿宋简体" w:eastAsia="方正仿宋简体"/>
                            <w:sz w:val="24"/>
                            <w:szCs w:val="24"/>
                          </w:rPr>
                          <w:t xml:space="preserve"> 23 -</w:t>
                        </w:r>
                        <w:r>
                          <w:rPr>
                            <w:rFonts w:hint="eastAsia" w:ascii="方正仿宋简体" w:eastAsia="方正仿宋简体"/>
                            <w:sz w:val="24"/>
                            <w:szCs w:val="24"/>
                          </w:rPr>
                          <w:fldChar w:fldCharType="end"/>
                        </w:r>
                      </w:p>
                    </w:sdtContent>
                  </w:sdt>
                  <w:p w14:paraId="0EEFC47F">
                    <w:pPr>
                      <w:rPr>
                        <w:rFonts w:ascii="方正仿宋简体" w:eastAsia="方正仿宋简体"/>
                        <w:sz w:val="24"/>
                      </w:rPr>
                    </w:pPr>
                  </w:p>
                </w:txbxContent>
              </v:textbox>
            </v:shape>
          </w:pict>
        </mc:Fallback>
      </mc:AlternateContent>
    </w:r>
  </w:p>
  <w:p w14:paraId="6B0D8FC8">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CA19E">
    <w:pPr>
      <w:pStyle w:val="12"/>
      <w:rPr>
        <w:rFonts w:ascii="方正仿宋简体" w:eastAsia="方正仿宋简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61722"/>
                          </w:sdtPr>
                          <w:sdtEndPr>
                            <w:rPr>
                              <w:rFonts w:hint="eastAsia" w:ascii="方正仿宋简体" w:eastAsia="方正仿宋简体"/>
                              <w:sz w:val="24"/>
                              <w:szCs w:val="24"/>
                            </w:rPr>
                          </w:sdtEndPr>
                          <w:sdtContent>
                            <w:p w14:paraId="2AED2912">
                              <w:pPr>
                                <w:pStyle w:val="12"/>
                                <w:rPr>
                                  <w:rFonts w:ascii="方正仿宋简体" w:eastAsia="方正仿宋简体"/>
                                  <w:sz w:val="24"/>
                                  <w:szCs w:val="24"/>
                                </w:rPr>
                              </w:pPr>
                              <w:r>
                                <w:rPr>
                                  <w:rFonts w:hint="eastAsia" w:ascii="方正仿宋简体" w:eastAsia="方正仿宋简体"/>
                                  <w:sz w:val="24"/>
                                  <w:szCs w:val="24"/>
                                </w:rPr>
                                <w:fldChar w:fldCharType="begin"/>
                              </w:r>
                              <w:r>
                                <w:rPr>
                                  <w:rFonts w:hint="eastAsia" w:ascii="方正仿宋简体" w:eastAsia="方正仿宋简体"/>
                                  <w:sz w:val="24"/>
                                  <w:szCs w:val="24"/>
                                </w:rPr>
                                <w:instrText xml:space="preserve">PAGE   \* MERGEFORMAT</w:instrText>
                              </w:r>
                              <w:r>
                                <w:rPr>
                                  <w:rFonts w:hint="eastAsia" w:ascii="方正仿宋简体" w:eastAsia="方正仿宋简体"/>
                                  <w:sz w:val="24"/>
                                  <w:szCs w:val="24"/>
                                </w:rPr>
                                <w:fldChar w:fldCharType="separate"/>
                              </w:r>
                              <w:r>
                                <w:rPr>
                                  <w:rFonts w:ascii="方正仿宋简体" w:eastAsia="方正仿宋简体"/>
                                  <w:sz w:val="24"/>
                                  <w:szCs w:val="24"/>
                                  <w:lang w:val="zh-CN"/>
                                </w:rPr>
                                <w:t>-</w:t>
                              </w:r>
                              <w:r>
                                <w:rPr>
                                  <w:rFonts w:ascii="方正仿宋简体" w:eastAsia="方正仿宋简体"/>
                                  <w:sz w:val="24"/>
                                  <w:szCs w:val="24"/>
                                </w:rPr>
                                <w:t xml:space="preserve"> 24 -</w:t>
                              </w:r>
                              <w:r>
                                <w:rPr>
                                  <w:rFonts w:hint="eastAsia" w:ascii="方正仿宋简体" w:eastAsia="方正仿宋简体"/>
                                  <w:sz w:val="24"/>
                                  <w:szCs w:val="24"/>
                                </w:rPr>
                                <w:fldChar w:fldCharType="end"/>
                              </w:r>
                            </w:p>
                          </w:sdtContent>
                        </w:sdt>
                        <w:p w14:paraId="41FBEE70">
                          <w:pPr>
                            <w:rPr>
                              <w:rFonts w:ascii="方正仿宋简体" w:eastAsia="方正仿宋简体"/>
                              <w:sz w:val="24"/>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sdt>
                    <w:sdtPr>
                      <w:id w:val="361722"/>
                    </w:sdtPr>
                    <w:sdtEndPr>
                      <w:rPr>
                        <w:rFonts w:hint="eastAsia" w:ascii="方正仿宋简体" w:eastAsia="方正仿宋简体"/>
                        <w:sz w:val="24"/>
                        <w:szCs w:val="24"/>
                      </w:rPr>
                    </w:sdtEndPr>
                    <w:sdtContent>
                      <w:p w14:paraId="2AED2912">
                        <w:pPr>
                          <w:pStyle w:val="12"/>
                          <w:rPr>
                            <w:rFonts w:ascii="方正仿宋简体" w:eastAsia="方正仿宋简体"/>
                            <w:sz w:val="24"/>
                            <w:szCs w:val="24"/>
                          </w:rPr>
                        </w:pPr>
                        <w:r>
                          <w:rPr>
                            <w:rFonts w:hint="eastAsia" w:ascii="方正仿宋简体" w:eastAsia="方正仿宋简体"/>
                            <w:sz w:val="24"/>
                            <w:szCs w:val="24"/>
                          </w:rPr>
                          <w:fldChar w:fldCharType="begin"/>
                        </w:r>
                        <w:r>
                          <w:rPr>
                            <w:rFonts w:hint="eastAsia" w:ascii="方正仿宋简体" w:eastAsia="方正仿宋简体"/>
                            <w:sz w:val="24"/>
                            <w:szCs w:val="24"/>
                          </w:rPr>
                          <w:instrText xml:space="preserve">PAGE   \* MERGEFORMAT</w:instrText>
                        </w:r>
                        <w:r>
                          <w:rPr>
                            <w:rFonts w:hint="eastAsia" w:ascii="方正仿宋简体" w:eastAsia="方正仿宋简体"/>
                            <w:sz w:val="24"/>
                            <w:szCs w:val="24"/>
                          </w:rPr>
                          <w:fldChar w:fldCharType="separate"/>
                        </w:r>
                        <w:r>
                          <w:rPr>
                            <w:rFonts w:ascii="方正仿宋简体" w:eastAsia="方正仿宋简体"/>
                            <w:sz w:val="24"/>
                            <w:szCs w:val="24"/>
                            <w:lang w:val="zh-CN"/>
                          </w:rPr>
                          <w:t>-</w:t>
                        </w:r>
                        <w:r>
                          <w:rPr>
                            <w:rFonts w:ascii="方正仿宋简体" w:eastAsia="方正仿宋简体"/>
                            <w:sz w:val="24"/>
                            <w:szCs w:val="24"/>
                          </w:rPr>
                          <w:t xml:space="preserve"> 24 -</w:t>
                        </w:r>
                        <w:r>
                          <w:rPr>
                            <w:rFonts w:hint="eastAsia" w:ascii="方正仿宋简体" w:eastAsia="方正仿宋简体"/>
                            <w:sz w:val="24"/>
                            <w:szCs w:val="24"/>
                          </w:rPr>
                          <w:fldChar w:fldCharType="end"/>
                        </w:r>
                      </w:p>
                    </w:sdtContent>
                  </w:sdt>
                  <w:p w14:paraId="41FBEE70">
                    <w:pPr>
                      <w:rPr>
                        <w:rFonts w:ascii="方正仿宋简体" w:eastAsia="方正仿宋简体"/>
                        <w:sz w:val="24"/>
                      </w:rPr>
                    </w:pPr>
                  </w:p>
                </w:txbxContent>
              </v:textbox>
            </v:shape>
          </w:pict>
        </mc:Fallback>
      </mc:AlternateContent>
    </w:r>
  </w:p>
  <w:p w14:paraId="7880781D">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30F94"/>
    <w:multiLevelType w:val="multilevel"/>
    <w:tmpl w:val="00030F9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61D6505"/>
    <w:multiLevelType w:val="singleLevel"/>
    <w:tmpl w:val="361D6505"/>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I4NGE5YTNiNzViMGFkMzhjMDY5YzczOTZlYmM5ZjIifQ=="/>
  </w:docVars>
  <w:rsids>
    <w:rsidRoot w:val="00517E42"/>
    <w:rsid w:val="0000311F"/>
    <w:rsid w:val="0000734E"/>
    <w:rsid w:val="0004412A"/>
    <w:rsid w:val="00075A1B"/>
    <w:rsid w:val="000A039F"/>
    <w:rsid w:val="000A1D44"/>
    <w:rsid w:val="000B130F"/>
    <w:rsid w:val="000D7371"/>
    <w:rsid w:val="000E3C8D"/>
    <w:rsid w:val="00127F21"/>
    <w:rsid w:val="00130052"/>
    <w:rsid w:val="00163133"/>
    <w:rsid w:val="00171F2D"/>
    <w:rsid w:val="001D4706"/>
    <w:rsid w:val="00252AB8"/>
    <w:rsid w:val="00276391"/>
    <w:rsid w:val="00283A30"/>
    <w:rsid w:val="002A557D"/>
    <w:rsid w:val="002B46DE"/>
    <w:rsid w:val="002C1149"/>
    <w:rsid w:val="002C6088"/>
    <w:rsid w:val="002F0DC4"/>
    <w:rsid w:val="00325DAA"/>
    <w:rsid w:val="00360D68"/>
    <w:rsid w:val="00361E3B"/>
    <w:rsid w:val="003645A8"/>
    <w:rsid w:val="003F1741"/>
    <w:rsid w:val="0043218B"/>
    <w:rsid w:val="00441420"/>
    <w:rsid w:val="004452AA"/>
    <w:rsid w:val="00503D3E"/>
    <w:rsid w:val="00517E42"/>
    <w:rsid w:val="00535A5C"/>
    <w:rsid w:val="005610F6"/>
    <w:rsid w:val="005873B1"/>
    <w:rsid w:val="005B4104"/>
    <w:rsid w:val="005F7024"/>
    <w:rsid w:val="006A2A69"/>
    <w:rsid w:val="006E46ED"/>
    <w:rsid w:val="00784938"/>
    <w:rsid w:val="007D246E"/>
    <w:rsid w:val="008C621B"/>
    <w:rsid w:val="0094052B"/>
    <w:rsid w:val="009E7132"/>
    <w:rsid w:val="00A45433"/>
    <w:rsid w:val="00A62338"/>
    <w:rsid w:val="00A7344B"/>
    <w:rsid w:val="00AB6E03"/>
    <w:rsid w:val="00B84A2E"/>
    <w:rsid w:val="00BE0265"/>
    <w:rsid w:val="00C31F89"/>
    <w:rsid w:val="00C36A48"/>
    <w:rsid w:val="00C757DD"/>
    <w:rsid w:val="00DB1593"/>
    <w:rsid w:val="00DB1FAA"/>
    <w:rsid w:val="00E165C1"/>
    <w:rsid w:val="00E314C9"/>
    <w:rsid w:val="00E55877"/>
    <w:rsid w:val="00E97878"/>
    <w:rsid w:val="00EB2101"/>
    <w:rsid w:val="00F20900"/>
    <w:rsid w:val="00F22AB3"/>
    <w:rsid w:val="00F72EC0"/>
    <w:rsid w:val="00F8230F"/>
    <w:rsid w:val="00FA177B"/>
    <w:rsid w:val="01AD0605"/>
    <w:rsid w:val="028D45F3"/>
    <w:rsid w:val="03DA5624"/>
    <w:rsid w:val="05D16DD2"/>
    <w:rsid w:val="06A63AF3"/>
    <w:rsid w:val="0DDC7592"/>
    <w:rsid w:val="0E8A7AE1"/>
    <w:rsid w:val="0EC74C3B"/>
    <w:rsid w:val="10D8048F"/>
    <w:rsid w:val="126F4F71"/>
    <w:rsid w:val="12805997"/>
    <w:rsid w:val="1A5037DA"/>
    <w:rsid w:val="1E23604F"/>
    <w:rsid w:val="24287620"/>
    <w:rsid w:val="248E69B5"/>
    <w:rsid w:val="29D05A01"/>
    <w:rsid w:val="2BF822AF"/>
    <w:rsid w:val="2FBA11C9"/>
    <w:rsid w:val="300C7328"/>
    <w:rsid w:val="316E38AD"/>
    <w:rsid w:val="33D9016D"/>
    <w:rsid w:val="3633573B"/>
    <w:rsid w:val="37BE49B8"/>
    <w:rsid w:val="39D70814"/>
    <w:rsid w:val="3F0C08B2"/>
    <w:rsid w:val="42835051"/>
    <w:rsid w:val="4AD47623"/>
    <w:rsid w:val="4FD6089B"/>
    <w:rsid w:val="52B3187A"/>
    <w:rsid w:val="5A5F0F76"/>
    <w:rsid w:val="5E263CC0"/>
    <w:rsid w:val="62484727"/>
    <w:rsid w:val="6D1E0882"/>
    <w:rsid w:val="6EA231EB"/>
    <w:rsid w:val="74605900"/>
    <w:rsid w:val="75290247"/>
    <w:rsid w:val="75BB65B6"/>
    <w:rsid w:val="7D2F34C3"/>
    <w:rsid w:val="7E233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99"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23">
    <w:name w:val="Default Paragraph Font"/>
    <w:autoRedefine/>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4">
    <w:name w:val="toc 7"/>
    <w:basedOn w:val="1"/>
    <w:next w:val="1"/>
    <w:unhideWhenUsed/>
    <w:qFormat/>
    <w:uiPriority w:val="39"/>
    <w:pPr>
      <w:ind w:left="1260"/>
      <w:jc w:val="left"/>
    </w:pPr>
    <w:rPr>
      <w:rFonts w:asciiTheme="minorHAnsi" w:hAnsiTheme="minorHAnsi"/>
      <w:sz w:val="18"/>
      <w:szCs w:val="18"/>
    </w:rPr>
  </w:style>
  <w:style w:type="paragraph" w:styleId="5">
    <w:name w:val="caption"/>
    <w:basedOn w:val="1"/>
    <w:next w:val="1"/>
    <w:autoRedefine/>
    <w:unhideWhenUsed/>
    <w:qFormat/>
    <w:uiPriority w:val="35"/>
    <w:pPr>
      <w:adjustRightInd w:val="0"/>
      <w:snapToGrid w:val="0"/>
      <w:spacing w:line="300" w:lineRule="auto"/>
      <w:jc w:val="center"/>
    </w:pPr>
    <w:rPr>
      <w:b/>
      <w:szCs w:val="20"/>
    </w:rPr>
  </w:style>
  <w:style w:type="paragraph" w:styleId="6">
    <w:name w:val="Document Map"/>
    <w:basedOn w:val="1"/>
    <w:link w:val="34"/>
    <w:autoRedefine/>
    <w:semiHidden/>
    <w:unhideWhenUsed/>
    <w:qFormat/>
    <w:uiPriority w:val="99"/>
    <w:rPr>
      <w:rFonts w:ascii="宋体"/>
      <w:sz w:val="18"/>
      <w:szCs w:val="18"/>
    </w:rPr>
  </w:style>
  <w:style w:type="paragraph" w:styleId="7">
    <w:name w:val="Body Text"/>
    <w:basedOn w:val="1"/>
    <w:autoRedefine/>
    <w:qFormat/>
    <w:uiPriority w:val="0"/>
    <w:pPr>
      <w:ind w:left="289"/>
    </w:pPr>
    <w:rPr>
      <w:rFonts w:ascii="宋体" w:hAnsi="宋体"/>
      <w:sz w:val="26"/>
      <w:szCs w:val="26"/>
    </w:rPr>
  </w:style>
  <w:style w:type="paragraph" w:styleId="8">
    <w:name w:val="toc 5"/>
    <w:basedOn w:val="1"/>
    <w:next w:val="1"/>
    <w:unhideWhenUsed/>
    <w:qFormat/>
    <w:uiPriority w:val="39"/>
    <w:pPr>
      <w:ind w:left="840"/>
      <w:jc w:val="left"/>
    </w:pPr>
    <w:rPr>
      <w:rFonts w:asciiTheme="minorHAnsi" w:hAnsiTheme="minorHAnsi"/>
      <w:sz w:val="18"/>
      <w:szCs w:val="18"/>
    </w:rPr>
  </w:style>
  <w:style w:type="paragraph" w:styleId="9">
    <w:name w:val="toc 3"/>
    <w:basedOn w:val="1"/>
    <w:next w:val="1"/>
    <w:unhideWhenUsed/>
    <w:qFormat/>
    <w:uiPriority w:val="39"/>
    <w:pPr>
      <w:ind w:left="420"/>
      <w:jc w:val="left"/>
    </w:pPr>
    <w:rPr>
      <w:rFonts w:asciiTheme="minorHAnsi" w:hAnsiTheme="minorHAnsi"/>
      <w:i/>
      <w:iCs/>
      <w:sz w:val="20"/>
      <w:szCs w:val="20"/>
    </w:rPr>
  </w:style>
  <w:style w:type="paragraph" w:styleId="10">
    <w:name w:val="toc 8"/>
    <w:basedOn w:val="1"/>
    <w:next w:val="1"/>
    <w:unhideWhenUsed/>
    <w:qFormat/>
    <w:uiPriority w:val="39"/>
    <w:pPr>
      <w:ind w:left="1470"/>
      <w:jc w:val="left"/>
    </w:pPr>
    <w:rPr>
      <w:rFonts w:asciiTheme="minorHAnsi" w:hAnsiTheme="minorHAnsi"/>
      <w:sz w:val="18"/>
      <w:szCs w:val="18"/>
    </w:rPr>
  </w:style>
  <w:style w:type="paragraph" w:styleId="11">
    <w:name w:val="Balloon Text"/>
    <w:basedOn w:val="1"/>
    <w:link w:val="33"/>
    <w:autoRedefine/>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3">
    <w:name w:val="header"/>
    <w:basedOn w:val="1"/>
    <w:link w:val="26"/>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unhideWhenUsed/>
    <w:qFormat/>
    <w:uiPriority w:val="39"/>
    <w:pPr>
      <w:spacing w:before="120" w:after="120"/>
      <w:jc w:val="left"/>
    </w:pPr>
    <w:rPr>
      <w:rFonts w:asciiTheme="minorHAnsi" w:hAnsiTheme="minorHAnsi"/>
      <w:b/>
      <w:bCs/>
      <w:caps/>
      <w:sz w:val="20"/>
      <w:szCs w:val="20"/>
    </w:rPr>
  </w:style>
  <w:style w:type="paragraph" w:styleId="15">
    <w:name w:val="toc 4"/>
    <w:basedOn w:val="1"/>
    <w:next w:val="1"/>
    <w:unhideWhenUsed/>
    <w:qFormat/>
    <w:uiPriority w:val="39"/>
    <w:pPr>
      <w:ind w:left="630"/>
      <w:jc w:val="left"/>
    </w:pPr>
    <w:rPr>
      <w:rFonts w:asciiTheme="minorHAnsi" w:hAnsiTheme="minorHAnsi"/>
      <w:sz w:val="18"/>
      <w:szCs w:val="18"/>
    </w:rPr>
  </w:style>
  <w:style w:type="paragraph" w:styleId="16">
    <w:name w:val="footnote text"/>
    <w:basedOn w:val="1"/>
    <w:link w:val="38"/>
    <w:autoRedefine/>
    <w:qFormat/>
    <w:uiPriority w:val="99"/>
    <w:rPr>
      <w:kern w:val="0"/>
      <w:sz w:val="24"/>
    </w:rPr>
  </w:style>
  <w:style w:type="paragraph" w:styleId="17">
    <w:name w:val="toc 6"/>
    <w:basedOn w:val="1"/>
    <w:next w:val="1"/>
    <w:unhideWhenUsed/>
    <w:qFormat/>
    <w:uiPriority w:val="39"/>
    <w:pPr>
      <w:ind w:left="1050"/>
      <w:jc w:val="left"/>
    </w:pPr>
    <w:rPr>
      <w:rFonts w:asciiTheme="minorHAnsi" w:hAnsiTheme="minorHAnsi"/>
      <w:sz w:val="18"/>
      <w:szCs w:val="18"/>
    </w:rPr>
  </w:style>
  <w:style w:type="paragraph" w:styleId="18">
    <w:name w:val="toc 2"/>
    <w:basedOn w:val="1"/>
    <w:next w:val="1"/>
    <w:unhideWhenUsed/>
    <w:qFormat/>
    <w:uiPriority w:val="39"/>
    <w:pPr>
      <w:ind w:left="210"/>
      <w:jc w:val="left"/>
    </w:pPr>
    <w:rPr>
      <w:rFonts w:asciiTheme="minorHAnsi" w:hAnsiTheme="minorHAnsi"/>
      <w:smallCaps/>
      <w:sz w:val="20"/>
      <w:szCs w:val="20"/>
    </w:rPr>
  </w:style>
  <w:style w:type="paragraph" w:styleId="19">
    <w:name w:val="toc 9"/>
    <w:basedOn w:val="1"/>
    <w:next w:val="1"/>
    <w:unhideWhenUsed/>
    <w:qFormat/>
    <w:uiPriority w:val="39"/>
    <w:pPr>
      <w:ind w:left="1680"/>
      <w:jc w:val="left"/>
    </w:pPr>
    <w:rPr>
      <w:rFonts w:asciiTheme="minorHAnsi" w:hAnsiTheme="minorHAnsi"/>
      <w:sz w:val="18"/>
      <w:szCs w:val="18"/>
    </w:rPr>
  </w:style>
  <w:style w:type="paragraph" w:styleId="20">
    <w:name w:val="Normal (Web)"/>
    <w:basedOn w:val="1"/>
    <w:autoRedefine/>
    <w:unhideWhenUsed/>
    <w:qFormat/>
    <w:uiPriority w:val="99"/>
    <w:pPr>
      <w:widowControl/>
      <w:spacing w:before="100" w:beforeAutospacing="1" w:after="100" w:afterAutospacing="1"/>
      <w:jc w:val="left"/>
    </w:pPr>
    <w:rPr>
      <w:rFonts w:ascii="宋体" w:hAnsi="宋体"/>
      <w:kern w:val="0"/>
      <w:sz w:val="24"/>
    </w:rPr>
  </w:style>
  <w:style w:type="paragraph" w:styleId="21">
    <w:name w:val="Title"/>
    <w:basedOn w:val="1"/>
    <w:next w:val="1"/>
    <w:link w:val="31"/>
    <w:autoRedefine/>
    <w:qFormat/>
    <w:uiPriority w:val="0"/>
    <w:pPr>
      <w:spacing w:before="240" w:after="60"/>
      <w:jc w:val="center"/>
      <w:outlineLvl w:val="0"/>
    </w:pPr>
    <w:rPr>
      <w:rFonts w:ascii="Cambria" w:hAnsi="Cambria"/>
      <w:b/>
      <w:bCs/>
      <w:sz w:val="32"/>
      <w:szCs w:val="32"/>
    </w:rPr>
  </w:style>
  <w:style w:type="character" w:styleId="24">
    <w:name w:val="Hyperlink"/>
    <w:basedOn w:val="23"/>
    <w:unhideWhenUsed/>
    <w:qFormat/>
    <w:uiPriority w:val="99"/>
    <w:rPr>
      <w:color w:val="0000FF" w:themeColor="hyperlink"/>
      <w:u w:val="single"/>
      <w14:textFill>
        <w14:solidFill>
          <w14:schemeClr w14:val="hlink"/>
        </w14:solidFill>
      </w14:textFill>
    </w:rPr>
  </w:style>
  <w:style w:type="character" w:styleId="25">
    <w:name w:val="footnote reference"/>
    <w:qFormat/>
    <w:uiPriority w:val="0"/>
    <w:rPr>
      <w:vertAlign w:val="superscript"/>
    </w:rPr>
  </w:style>
  <w:style w:type="character" w:customStyle="1" w:styleId="26">
    <w:name w:val="页眉 Char"/>
    <w:basedOn w:val="23"/>
    <w:link w:val="13"/>
    <w:qFormat/>
    <w:uiPriority w:val="99"/>
    <w:rPr>
      <w:sz w:val="18"/>
      <w:szCs w:val="18"/>
    </w:rPr>
  </w:style>
  <w:style w:type="character" w:customStyle="1" w:styleId="27">
    <w:name w:val="页脚 Char"/>
    <w:basedOn w:val="23"/>
    <w:link w:val="12"/>
    <w:qFormat/>
    <w:uiPriority w:val="99"/>
    <w:rPr>
      <w:sz w:val="18"/>
      <w:szCs w:val="18"/>
    </w:rPr>
  </w:style>
  <w:style w:type="character" w:customStyle="1" w:styleId="28">
    <w:name w:val="标题 1 Char"/>
    <w:basedOn w:val="23"/>
    <w:link w:val="2"/>
    <w:qFormat/>
    <w:uiPriority w:val="9"/>
    <w:rPr>
      <w:rFonts w:ascii="Times New Roman" w:hAnsi="Times New Roman" w:eastAsia="宋体" w:cs="Times New Roman"/>
      <w:b/>
      <w:bCs/>
      <w:kern w:val="44"/>
      <w:sz w:val="44"/>
      <w:szCs w:val="44"/>
    </w:rPr>
  </w:style>
  <w:style w:type="paragraph" w:customStyle="1" w:styleId="29">
    <w:name w:val="样式 标题 1 +"/>
    <w:basedOn w:val="2"/>
    <w:qFormat/>
    <w:uiPriority w:val="0"/>
    <w:rPr>
      <w:rFonts w:eastAsia="黑体"/>
      <w:kern w:val="0"/>
      <w:sz w:val="28"/>
    </w:rPr>
  </w:style>
  <w:style w:type="paragraph" w:customStyle="1" w:styleId="30">
    <w:name w:val="样式 标题 2 +"/>
    <w:basedOn w:val="3"/>
    <w:qFormat/>
    <w:uiPriority w:val="0"/>
    <w:pPr>
      <w:keepLines w:val="0"/>
      <w:spacing w:before="0" w:after="0" w:line="240" w:lineRule="auto"/>
    </w:pPr>
    <w:rPr>
      <w:rFonts w:ascii="宋体" w:hAnsi="Times New Roman" w:eastAsia="宋体" w:cs="Times New Roman"/>
      <w:kern w:val="0"/>
      <w:sz w:val="24"/>
      <w:szCs w:val="24"/>
    </w:rPr>
  </w:style>
  <w:style w:type="character" w:customStyle="1" w:styleId="31">
    <w:name w:val="标题 Char"/>
    <w:basedOn w:val="23"/>
    <w:link w:val="21"/>
    <w:qFormat/>
    <w:uiPriority w:val="0"/>
    <w:rPr>
      <w:rFonts w:ascii="Cambria" w:hAnsi="Cambria" w:eastAsia="宋体" w:cs="Times New Roman"/>
      <w:b/>
      <w:bCs/>
      <w:sz w:val="32"/>
      <w:szCs w:val="32"/>
    </w:rPr>
  </w:style>
  <w:style w:type="character" w:customStyle="1" w:styleId="32">
    <w:name w:val="标题 2 Char"/>
    <w:basedOn w:val="23"/>
    <w:link w:val="3"/>
    <w:semiHidden/>
    <w:qFormat/>
    <w:uiPriority w:val="9"/>
    <w:rPr>
      <w:rFonts w:asciiTheme="majorHAnsi" w:hAnsiTheme="majorHAnsi" w:eastAsiaTheme="majorEastAsia" w:cstheme="majorBidi"/>
      <w:b/>
      <w:bCs/>
      <w:sz w:val="32"/>
      <w:szCs w:val="32"/>
    </w:rPr>
  </w:style>
  <w:style w:type="character" w:customStyle="1" w:styleId="33">
    <w:name w:val="批注框文本 Char"/>
    <w:basedOn w:val="23"/>
    <w:link w:val="11"/>
    <w:semiHidden/>
    <w:qFormat/>
    <w:uiPriority w:val="99"/>
    <w:rPr>
      <w:rFonts w:ascii="Times New Roman" w:hAnsi="Times New Roman" w:eastAsia="宋体" w:cs="Times New Roman"/>
      <w:sz w:val="18"/>
      <w:szCs w:val="18"/>
    </w:rPr>
  </w:style>
  <w:style w:type="character" w:customStyle="1" w:styleId="34">
    <w:name w:val="文档结构图 Char"/>
    <w:basedOn w:val="23"/>
    <w:link w:val="6"/>
    <w:semiHidden/>
    <w:qFormat/>
    <w:uiPriority w:val="99"/>
    <w:rPr>
      <w:rFonts w:ascii="宋体" w:hAnsi="Times New Roman" w:eastAsia="宋体" w:cs="Times New Roman"/>
      <w:sz w:val="18"/>
      <w:szCs w:val="18"/>
    </w:rPr>
  </w:style>
  <w:style w:type="paragraph" w:customStyle="1" w:styleId="35">
    <w:name w:val="正文0"/>
    <w:basedOn w:val="1"/>
    <w:link w:val="36"/>
    <w:qFormat/>
    <w:uiPriority w:val="0"/>
    <w:pPr>
      <w:adjustRightInd w:val="0"/>
      <w:snapToGrid w:val="0"/>
      <w:spacing w:line="300" w:lineRule="auto"/>
      <w:ind w:firstLine="480" w:firstLineChars="200"/>
      <w:jc w:val="left"/>
    </w:pPr>
    <w:rPr>
      <w:kern w:val="0"/>
      <w:sz w:val="24"/>
    </w:rPr>
  </w:style>
  <w:style w:type="character" w:customStyle="1" w:styleId="36">
    <w:name w:val="正文0 Char"/>
    <w:link w:val="35"/>
    <w:qFormat/>
    <w:uiPriority w:val="0"/>
    <w:rPr>
      <w:rFonts w:ascii="Times New Roman" w:hAnsi="Times New Roman" w:eastAsia="宋体" w:cs="Times New Roman"/>
      <w:kern w:val="0"/>
      <w:sz w:val="24"/>
      <w:szCs w:val="24"/>
    </w:rPr>
  </w:style>
  <w:style w:type="paragraph" w:styleId="37">
    <w:name w:val="List Paragraph"/>
    <w:basedOn w:val="1"/>
    <w:qFormat/>
    <w:uiPriority w:val="34"/>
    <w:pPr>
      <w:ind w:firstLine="420" w:firstLineChars="200"/>
    </w:pPr>
  </w:style>
  <w:style w:type="character" w:customStyle="1" w:styleId="38">
    <w:name w:val="脚注文本 Char"/>
    <w:basedOn w:val="23"/>
    <w:link w:val="16"/>
    <w:qFormat/>
    <w:uiPriority w:val="99"/>
    <w:rPr>
      <w:rFonts w:ascii="Times New Roman" w:hAnsi="Times New Roman" w:eastAsia="宋体" w:cs="Times New Roman"/>
      <w:kern w:val="0"/>
      <w:sz w:val="24"/>
      <w:szCs w:val="24"/>
    </w:rPr>
  </w:style>
  <w:style w:type="character" w:customStyle="1" w:styleId="39">
    <w:name w:val="fontstyle01"/>
    <w:qFormat/>
    <w:uiPriority w:val="0"/>
    <w:rPr>
      <w:rFonts w:hint="eastAsia" w:ascii="宋体" w:hAnsi="宋体" w:eastAsia="宋体"/>
      <w:color w:val="000000"/>
      <w:sz w:val="22"/>
      <w:szCs w:val="22"/>
    </w:rPr>
  </w:style>
  <w:style w:type="character" w:customStyle="1" w:styleId="40">
    <w:name w:val="fontstyle21"/>
    <w:autoRedefine/>
    <w:qFormat/>
    <w:uiPriority w:val="0"/>
    <w:rPr>
      <w:rFonts w:hint="default" w:ascii="Calibri" w:hAnsi="Calibri" w:cs="Calibri"/>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microsoft.com/office/2007/relationships/hdphoto" Target="media/image3.wdp"/><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A9773B-BFDF-481E-9120-F8F1800EB419}">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10117</Words>
  <Characters>10662</Characters>
  <Lines>86</Lines>
  <Paragraphs>24</Paragraphs>
  <TotalTime>18</TotalTime>
  <ScaleCrop>false</ScaleCrop>
  <LinksUpToDate>false</LinksUpToDate>
  <CharactersWithSpaces>10777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2024-02-28T07:28:00Z</dcterms:created>
  <dc:creator>lenovo</dc:creator>
  <cp:lastModifiedBy>WPS_1519723213</cp:lastModifiedBy>
  <cp:lastPrinted>2017-11-16T12:51:00Z</cp:lastPrinted>
  <dcterms:modified xsi:type="dcterms:W3CDTF">2025-03-17T06:32:10Z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BAA1CA1FF40A4F049E736E7DAB832002</vt:lpwstr>
  </property>
  <property fmtid="{D5CDD505-2E9C-101B-9397-08002B2CF9AE}" pid="4" name="KSOSaveFontToCloudKey">
    <vt:lpwstr>210869637_btnclosed</vt:lpwstr>
  </property>
  <property fmtid="{D5CDD505-2E9C-101B-9397-08002B2CF9AE}" pid="5" name="KSOTemplateDocerSaveRecord">
    <vt:lpwstr>eyJoZGlkIjoiZDNlNTdmNzY0ZTllZGQ4NGM5MDk2YTczMDEzNjEwNzAiLCJ1c2VySWQiOiIzNDczODQwNTkifQ==</vt:lpwstr>
  </property>
</Properties>
</file>